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D779A" w14:textId="77777777" w:rsidR="00A64FC3" w:rsidRDefault="00A64FC3">
      <w:pPr>
        <w:pStyle w:val="BodyText"/>
        <w:rPr>
          <w:rFonts w:ascii="Times New Roman"/>
          <w:i w:val="0"/>
        </w:rPr>
      </w:pPr>
    </w:p>
    <w:p w14:paraId="05E22D6F" w14:textId="77777777" w:rsidR="00A64FC3" w:rsidRDefault="00A64FC3">
      <w:pPr>
        <w:pStyle w:val="BodyText"/>
        <w:rPr>
          <w:rFonts w:ascii="Times New Roman"/>
          <w:i w:val="0"/>
        </w:rPr>
      </w:pPr>
    </w:p>
    <w:p w14:paraId="50F5B0AC" w14:textId="77777777" w:rsidR="00A64FC3" w:rsidRDefault="00A64FC3">
      <w:pPr>
        <w:pStyle w:val="BodyText"/>
        <w:rPr>
          <w:rFonts w:ascii="Times New Roman"/>
          <w:i w:val="0"/>
        </w:rPr>
      </w:pPr>
    </w:p>
    <w:p w14:paraId="7C879CE8" w14:textId="77777777" w:rsidR="00A64FC3" w:rsidRDefault="00A64FC3">
      <w:pPr>
        <w:pStyle w:val="BodyText"/>
        <w:rPr>
          <w:rFonts w:ascii="Times New Roman"/>
          <w:i w:val="0"/>
        </w:rPr>
      </w:pPr>
    </w:p>
    <w:p w14:paraId="799B7C18" w14:textId="77777777" w:rsidR="00A64FC3" w:rsidRDefault="00A64FC3">
      <w:pPr>
        <w:pStyle w:val="BodyText"/>
        <w:rPr>
          <w:rFonts w:ascii="Times New Roman"/>
          <w:i w:val="0"/>
        </w:rPr>
      </w:pPr>
    </w:p>
    <w:p w14:paraId="5CF4A2D2" w14:textId="77777777" w:rsidR="00A64FC3" w:rsidRDefault="00A64FC3">
      <w:pPr>
        <w:pStyle w:val="BodyText"/>
        <w:rPr>
          <w:rFonts w:ascii="Times New Roman"/>
          <w:i w:val="0"/>
        </w:rPr>
      </w:pPr>
    </w:p>
    <w:p w14:paraId="3017471B" w14:textId="77777777" w:rsidR="00A64FC3" w:rsidRDefault="00A64FC3">
      <w:pPr>
        <w:pStyle w:val="BodyText"/>
        <w:spacing w:before="10"/>
        <w:rPr>
          <w:rFonts w:ascii="Times New Roman"/>
          <w:i w:val="0"/>
          <w:sz w:val="28"/>
        </w:rPr>
      </w:pPr>
    </w:p>
    <w:p w14:paraId="080F911B" w14:textId="77777777" w:rsidR="00A64FC3" w:rsidRDefault="00011CDF">
      <w:pPr>
        <w:pStyle w:val="Heading1"/>
        <w:spacing w:line="670" w:lineRule="exact"/>
        <w:ind w:left="706" w:right="0"/>
        <w:jc w:val="left"/>
      </w:pPr>
      <w:r>
        <w:t>Iniciativa de Estratégia Integrada para</w:t>
      </w:r>
    </w:p>
    <w:p w14:paraId="583E786C" w14:textId="77777777" w:rsidR="00A64FC3" w:rsidRDefault="00011CDF">
      <w:pPr>
        <w:ind w:left="404" w:right="438"/>
        <w:jc w:val="center"/>
        <w:rPr>
          <w:b/>
          <w:sz w:val="56"/>
        </w:rPr>
      </w:pPr>
      <w:r>
        <w:rPr>
          <w:b/>
          <w:sz w:val="56"/>
        </w:rPr>
        <w:t>promover e reforçar a oferta de Práticas de Aprendizagem/Estágios no Sector Têxtil</w:t>
      </w:r>
    </w:p>
    <w:p w14:paraId="6F9EA93D" w14:textId="77777777" w:rsidR="00A64FC3" w:rsidRDefault="00A64FC3">
      <w:pPr>
        <w:rPr>
          <w:b/>
          <w:sz w:val="56"/>
        </w:rPr>
      </w:pPr>
    </w:p>
    <w:p w14:paraId="34CF797B" w14:textId="77777777" w:rsidR="00A64FC3" w:rsidRDefault="00A64FC3">
      <w:pPr>
        <w:rPr>
          <w:b/>
          <w:sz w:val="56"/>
        </w:rPr>
      </w:pPr>
    </w:p>
    <w:p w14:paraId="167421F4" w14:textId="77777777" w:rsidR="00A64FC3" w:rsidRDefault="00A64FC3">
      <w:pPr>
        <w:spacing w:before="1"/>
        <w:rPr>
          <w:b/>
          <w:sz w:val="56"/>
        </w:rPr>
      </w:pPr>
      <w:bookmarkStart w:id="0" w:name="_GoBack"/>
      <w:bookmarkEnd w:id="0"/>
    </w:p>
    <w:p w14:paraId="00473EF3" w14:textId="77777777" w:rsidR="00A64FC3" w:rsidRDefault="00011CDF">
      <w:pPr>
        <w:ind w:left="398" w:right="438"/>
        <w:jc w:val="center"/>
        <w:rPr>
          <w:b/>
          <w:sz w:val="56"/>
        </w:rPr>
      </w:pPr>
      <w:r>
        <w:rPr>
          <w:b/>
          <w:sz w:val="56"/>
        </w:rPr>
        <w:t>TEXAPP - WP3.2</w:t>
      </w:r>
    </w:p>
    <w:p w14:paraId="48469152" w14:textId="77777777" w:rsidR="00A64FC3" w:rsidRDefault="00A64FC3">
      <w:pPr>
        <w:rPr>
          <w:b/>
          <w:sz w:val="20"/>
        </w:rPr>
      </w:pPr>
    </w:p>
    <w:p w14:paraId="5641D49A" w14:textId="77777777" w:rsidR="00A64FC3" w:rsidRDefault="00A64FC3">
      <w:pPr>
        <w:rPr>
          <w:b/>
          <w:sz w:val="20"/>
        </w:rPr>
      </w:pPr>
    </w:p>
    <w:p w14:paraId="3685E9B1" w14:textId="77777777" w:rsidR="00A64FC3" w:rsidRDefault="00011CDF">
      <w:pPr>
        <w:spacing w:before="8"/>
        <w:rPr>
          <w:b/>
          <w:sz w:val="12"/>
        </w:rPr>
      </w:pPr>
      <w:r>
        <w:pict w14:anchorId="7F78044F">
          <v:shapetype id="_x0000_t202" coordsize="21600,21600" o:spt="202" path="m,l,21600r21600,l21600,xe">
            <v:stroke joinstyle="miter"/>
            <v:path gradientshapeok="t" o:connecttype="rect"/>
          </v:shapetype>
          <v:shape id="_x0000_s1031" type="#_x0000_t202" style="position:absolute;margin-left:97.1pt;margin-top:9.95pt;width:401.15pt;height:32.55pt;z-index:-251660800;mso-wrap-distance-left:0;mso-wrap-distance-right:0;mso-position-horizontal-relative:page" fillcolor="#d4dce3" strokeweight=".48pt">
            <v:textbox inset="0,0,0,0">
              <w:txbxContent>
                <w:p w14:paraId="35FC4F47" w14:textId="77777777" w:rsidR="00A64FC3" w:rsidRDefault="00011CDF">
                  <w:pPr>
                    <w:ind w:left="1727"/>
                    <w:rPr>
                      <w:b/>
                      <w:sz w:val="40"/>
                    </w:rPr>
                  </w:pPr>
                  <w:r>
                    <w:rPr>
                      <w:b/>
                      <w:sz w:val="40"/>
                    </w:rPr>
                    <w:t>Estudos de caso &amp; Boas práticas</w:t>
                  </w:r>
                </w:p>
              </w:txbxContent>
            </v:textbox>
            <w10:wrap type="topAndBottom" anchorx="page"/>
          </v:shape>
        </w:pict>
      </w:r>
    </w:p>
    <w:p w14:paraId="4A630BA9" w14:textId="77777777" w:rsidR="00A64FC3" w:rsidRDefault="00A64FC3">
      <w:pPr>
        <w:rPr>
          <w:b/>
          <w:sz w:val="20"/>
        </w:rPr>
      </w:pPr>
    </w:p>
    <w:p w14:paraId="54C31C7F" w14:textId="77777777" w:rsidR="00A64FC3" w:rsidRDefault="00A64FC3">
      <w:pPr>
        <w:rPr>
          <w:b/>
          <w:sz w:val="20"/>
        </w:rPr>
      </w:pPr>
    </w:p>
    <w:p w14:paraId="5C2926A0" w14:textId="77777777" w:rsidR="00A64FC3" w:rsidRDefault="00A64FC3">
      <w:pPr>
        <w:rPr>
          <w:b/>
          <w:sz w:val="20"/>
        </w:rPr>
      </w:pPr>
    </w:p>
    <w:p w14:paraId="31BBB6F2" w14:textId="77777777" w:rsidR="00A64FC3" w:rsidRDefault="00A64FC3">
      <w:pPr>
        <w:rPr>
          <w:b/>
          <w:sz w:val="20"/>
        </w:rPr>
      </w:pPr>
    </w:p>
    <w:p w14:paraId="09662E32" w14:textId="77777777" w:rsidR="00A64FC3" w:rsidRDefault="00A64FC3">
      <w:pPr>
        <w:spacing w:before="2"/>
        <w:rPr>
          <w:b/>
          <w:sz w:val="23"/>
        </w:rPr>
      </w:pPr>
    </w:p>
    <w:tbl>
      <w:tblPr>
        <w:tblW w:w="0" w:type="auto"/>
        <w:tblInd w:w="1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6"/>
        <w:gridCol w:w="5999"/>
      </w:tblGrid>
      <w:tr w:rsidR="00A64FC3" w14:paraId="2FBD787A" w14:textId="77777777">
        <w:trPr>
          <w:trHeight w:val="779"/>
        </w:trPr>
        <w:tc>
          <w:tcPr>
            <w:tcW w:w="2016" w:type="dxa"/>
            <w:shd w:val="clear" w:color="auto" w:fill="2D74B5"/>
          </w:tcPr>
          <w:p w14:paraId="3006E432" w14:textId="77777777" w:rsidR="00A64FC3" w:rsidRDefault="00011CDF">
            <w:pPr>
              <w:pStyle w:val="TableParagraph"/>
              <w:spacing w:line="390" w:lineRule="exact"/>
              <w:ind w:left="107"/>
              <w:jc w:val="left"/>
              <w:rPr>
                <w:b/>
                <w:sz w:val="32"/>
              </w:rPr>
            </w:pPr>
            <w:r>
              <w:rPr>
                <w:b/>
                <w:sz w:val="32"/>
              </w:rPr>
              <w:t>Desenvolvido</w:t>
            </w:r>
          </w:p>
          <w:p w14:paraId="136D1634" w14:textId="77777777" w:rsidR="00A64FC3" w:rsidRDefault="00011CDF">
            <w:pPr>
              <w:pStyle w:val="TableParagraph"/>
              <w:spacing w:line="370" w:lineRule="exact"/>
              <w:ind w:left="107"/>
              <w:jc w:val="left"/>
              <w:rPr>
                <w:b/>
                <w:sz w:val="32"/>
              </w:rPr>
            </w:pPr>
            <w:r>
              <w:rPr>
                <w:b/>
                <w:sz w:val="32"/>
              </w:rPr>
              <w:t>por:</w:t>
            </w:r>
          </w:p>
        </w:tc>
        <w:tc>
          <w:tcPr>
            <w:tcW w:w="5999" w:type="dxa"/>
            <w:shd w:val="clear" w:color="auto" w:fill="D4DCE3"/>
          </w:tcPr>
          <w:p w14:paraId="5AF979AB" w14:textId="77777777" w:rsidR="00A64FC3" w:rsidRDefault="00011CDF">
            <w:pPr>
              <w:pStyle w:val="TableParagraph"/>
              <w:ind w:left="108"/>
              <w:jc w:val="left"/>
              <w:rPr>
                <w:sz w:val="32"/>
              </w:rPr>
            </w:pPr>
            <w:r>
              <w:rPr>
                <w:sz w:val="32"/>
              </w:rPr>
              <w:t>CITEVE</w:t>
            </w:r>
          </w:p>
        </w:tc>
      </w:tr>
    </w:tbl>
    <w:p w14:paraId="12C3B49E" w14:textId="77777777" w:rsidR="00A64FC3" w:rsidRDefault="00A64FC3">
      <w:pPr>
        <w:rPr>
          <w:sz w:val="32"/>
        </w:rPr>
        <w:sectPr w:rsidR="00A64FC3">
          <w:headerReference w:type="default" r:id="rId6"/>
          <w:footerReference w:type="default" r:id="rId7"/>
          <w:type w:val="continuous"/>
          <w:pgSz w:w="11910" w:h="16840"/>
          <w:pgMar w:top="1660" w:right="840" w:bottom="1420" w:left="880" w:header="692" w:footer="1222" w:gutter="0"/>
          <w:cols w:space="720"/>
        </w:sectPr>
      </w:pPr>
    </w:p>
    <w:p w14:paraId="78F4D222" w14:textId="77777777" w:rsidR="00A64FC3" w:rsidRDefault="00A64FC3">
      <w:pPr>
        <w:pStyle w:val="BodyText"/>
        <w:rPr>
          <w:rFonts w:ascii="Times New Roman"/>
          <w:i w:val="0"/>
        </w:rPr>
      </w:pPr>
    </w:p>
    <w:p w14:paraId="632E6028" w14:textId="77777777" w:rsidR="00A64FC3" w:rsidRDefault="00A64FC3">
      <w:pPr>
        <w:pStyle w:val="BodyText"/>
        <w:rPr>
          <w:rFonts w:ascii="Times New Roman"/>
          <w:i w:val="0"/>
        </w:rPr>
      </w:pPr>
    </w:p>
    <w:p w14:paraId="052BB77A" w14:textId="77777777" w:rsidR="00A64FC3" w:rsidRDefault="00A64FC3">
      <w:pPr>
        <w:pStyle w:val="BodyText"/>
        <w:spacing w:before="2"/>
        <w:rPr>
          <w:rFonts w:ascii="Times New Roman"/>
          <w:i w:val="0"/>
          <w:sz w:val="16"/>
        </w:rPr>
      </w:pPr>
    </w:p>
    <w:p w14:paraId="792A67BB" w14:textId="77777777" w:rsidR="00A64FC3" w:rsidRDefault="00011CDF">
      <w:pPr>
        <w:pStyle w:val="BodyText"/>
        <w:ind w:left="200"/>
        <w:rPr>
          <w:rFonts w:ascii="Times New Roman"/>
          <w:i w:val="0"/>
        </w:rPr>
      </w:pPr>
      <w:r>
        <w:rPr>
          <w:rFonts w:ascii="Times New Roman"/>
          <w:i w:val="0"/>
        </w:rPr>
      </w:r>
      <w:r>
        <w:rPr>
          <w:rFonts w:ascii="Times New Roman"/>
          <w:i w:val="0"/>
        </w:rPr>
        <w:pict w14:anchorId="5161780F">
          <v:shape id="_x0000_s1030" type="#_x0000_t202" style="width:493.5pt;height:34.5pt;mso-left-percent:-10001;mso-top-percent:-10001;mso-position-horizontal:absolute;mso-position-horizontal-relative:char;mso-position-vertical:absolute;mso-position-vertical-relative:line;mso-left-percent:-10001;mso-top-percent:-10001" fillcolor="#a4a4a4" stroked="f">
            <v:fill opacity="32896f"/>
            <v:textbox inset="0,0,0,0">
              <w:txbxContent>
                <w:p w14:paraId="08A8B409" w14:textId="77777777" w:rsidR="00A64FC3" w:rsidRDefault="00011CDF">
                  <w:pPr>
                    <w:spacing w:before="73"/>
                    <w:ind w:left="3708" w:right="3706"/>
                    <w:jc w:val="center"/>
                    <w:rPr>
                      <w:b/>
                      <w:sz w:val="36"/>
                    </w:rPr>
                  </w:pPr>
                  <w:r>
                    <w:rPr>
                      <w:b/>
                      <w:color w:val="FFFFFF"/>
                      <w:sz w:val="36"/>
                    </w:rPr>
                    <w:t xml:space="preserve">Casos </w:t>
                  </w:r>
                  <w:r>
                    <w:rPr>
                      <w:b/>
                      <w:color w:val="FFFFFF"/>
                      <w:sz w:val="36"/>
                    </w:rPr>
                    <w:t>de estudo</w:t>
                  </w:r>
                </w:p>
              </w:txbxContent>
            </v:textbox>
            <w10:anchorlock/>
          </v:shape>
        </w:pict>
      </w:r>
    </w:p>
    <w:p w14:paraId="6ADA7BC6" w14:textId="77777777" w:rsidR="00A64FC3" w:rsidRDefault="00A64FC3">
      <w:pPr>
        <w:pStyle w:val="BodyText"/>
        <w:rPr>
          <w:rFonts w:ascii="Times New Roman"/>
          <w:i w:val="0"/>
        </w:rPr>
      </w:pPr>
    </w:p>
    <w:p w14:paraId="5ACB4B19" w14:textId="77777777" w:rsidR="00A64FC3" w:rsidRDefault="00A64FC3">
      <w:pPr>
        <w:pStyle w:val="BodyText"/>
        <w:spacing w:before="10"/>
        <w:rPr>
          <w:rFonts w:ascii="Times New Roman"/>
          <w:i w:val="0"/>
          <w:sz w:val="27"/>
        </w:rPr>
      </w:pPr>
    </w:p>
    <w:tbl>
      <w:tblPr>
        <w:tblW w:w="0" w:type="auto"/>
        <w:tblInd w:w="207" w:type="dxa"/>
        <w:tblLayout w:type="fixed"/>
        <w:tblCellMar>
          <w:left w:w="0" w:type="dxa"/>
          <w:right w:w="0" w:type="dxa"/>
        </w:tblCellMar>
        <w:tblLook w:val="01E0" w:firstRow="1" w:lastRow="1" w:firstColumn="1" w:lastColumn="1" w:noHBand="0" w:noVBand="0"/>
      </w:tblPr>
      <w:tblGrid>
        <w:gridCol w:w="9748"/>
      </w:tblGrid>
      <w:tr w:rsidR="00A64FC3" w14:paraId="5CD9F1C3" w14:textId="77777777">
        <w:trPr>
          <w:trHeight w:val="805"/>
        </w:trPr>
        <w:tc>
          <w:tcPr>
            <w:tcW w:w="9748" w:type="dxa"/>
            <w:tcBorders>
              <w:top w:val="single" w:sz="12" w:space="0" w:color="FFD966"/>
              <w:bottom w:val="single" w:sz="2" w:space="0" w:color="FFD966"/>
            </w:tcBorders>
            <w:shd w:val="clear" w:color="auto" w:fill="FFF1CC"/>
          </w:tcPr>
          <w:p w14:paraId="440CD4C6" w14:textId="77777777" w:rsidR="00A64FC3" w:rsidRDefault="00011CDF">
            <w:pPr>
              <w:pStyle w:val="TableParagraph"/>
              <w:spacing w:line="267" w:lineRule="exact"/>
              <w:ind w:left="977" w:right="977"/>
              <w:jc w:val="center"/>
              <w:rPr>
                <w:b/>
              </w:rPr>
            </w:pPr>
            <w:r>
              <w:rPr>
                <w:b/>
              </w:rPr>
              <w:t>Competências, criatividade e inovação: estudo de caso do sector têxtil e do vestuário</w:t>
            </w:r>
          </w:p>
          <w:p w14:paraId="3B4B8FD7" w14:textId="77777777" w:rsidR="00A64FC3" w:rsidRDefault="00011CDF">
            <w:pPr>
              <w:pStyle w:val="TableParagraph"/>
              <w:spacing w:before="134"/>
              <w:ind w:left="976" w:right="977"/>
              <w:jc w:val="center"/>
              <w:rPr>
                <w:b/>
              </w:rPr>
            </w:pPr>
            <w:hyperlink r:id="rId8">
              <w:r>
                <w:rPr>
                  <w:b/>
                  <w:color w:val="0000FF"/>
                  <w:u w:val="single" w:color="0000FF"/>
                </w:rPr>
                <w:t>https://repositorium.sdum.uminho.pt/handle/1822/33856</w:t>
              </w:r>
            </w:hyperlink>
          </w:p>
        </w:tc>
      </w:tr>
      <w:tr w:rsidR="00A64FC3" w14:paraId="1972306C" w14:textId="77777777">
        <w:trPr>
          <w:trHeight w:val="806"/>
        </w:trPr>
        <w:tc>
          <w:tcPr>
            <w:tcW w:w="9748" w:type="dxa"/>
            <w:tcBorders>
              <w:top w:val="single" w:sz="2" w:space="0" w:color="FFD966"/>
              <w:bottom w:val="single" w:sz="2" w:space="0" w:color="FFD966"/>
            </w:tcBorders>
          </w:tcPr>
          <w:p w14:paraId="301CAAB2" w14:textId="77777777" w:rsidR="00A64FC3" w:rsidRDefault="00011CDF">
            <w:pPr>
              <w:pStyle w:val="TableParagraph"/>
              <w:spacing w:line="268" w:lineRule="exact"/>
              <w:ind w:left="107"/>
              <w:jc w:val="left"/>
            </w:pPr>
            <w:r>
              <w:t>Autor(es): Miranda, Rosa Maria de Azevedo Maia Dias de</w:t>
            </w:r>
          </w:p>
          <w:p w14:paraId="56CD34DF" w14:textId="77777777" w:rsidR="00A64FC3" w:rsidRDefault="00011CDF">
            <w:pPr>
              <w:pStyle w:val="TableParagraph"/>
              <w:spacing w:before="134"/>
              <w:ind w:left="107"/>
              <w:jc w:val="left"/>
            </w:pPr>
            <w:r>
              <w:t>Universidade do Minho</w:t>
            </w:r>
          </w:p>
        </w:tc>
      </w:tr>
      <w:tr w:rsidR="00A64FC3" w14:paraId="361BFC57" w14:textId="77777777">
        <w:trPr>
          <w:trHeight w:val="8461"/>
        </w:trPr>
        <w:tc>
          <w:tcPr>
            <w:tcW w:w="9748" w:type="dxa"/>
            <w:tcBorders>
              <w:top w:val="single" w:sz="2" w:space="0" w:color="FFD966"/>
              <w:bottom w:val="single" w:sz="2" w:space="0" w:color="FFD966"/>
            </w:tcBorders>
            <w:shd w:val="clear" w:color="auto" w:fill="FFF1CC"/>
          </w:tcPr>
          <w:p w14:paraId="4CB857CE" w14:textId="77777777" w:rsidR="00A64FC3" w:rsidRDefault="00011CDF">
            <w:pPr>
              <w:pStyle w:val="TableParagraph"/>
              <w:tabs>
                <w:tab w:val="left" w:pos="8031"/>
              </w:tabs>
              <w:spacing w:line="360" w:lineRule="auto"/>
              <w:ind w:left="107" w:right="1"/>
              <w:jc w:val="left"/>
            </w:pPr>
            <w:r>
              <w:t>No</w:t>
            </w:r>
            <w:r>
              <w:rPr>
                <w:spacing w:val="-10"/>
              </w:rPr>
              <w:t xml:space="preserve"> </w:t>
            </w:r>
            <w:r>
              <w:t>contexto</w:t>
            </w:r>
            <w:r>
              <w:rPr>
                <w:spacing w:val="-11"/>
              </w:rPr>
              <w:t xml:space="preserve"> </w:t>
            </w:r>
            <w:r>
              <w:t>da</w:t>
            </w:r>
            <w:r>
              <w:rPr>
                <w:spacing w:val="-11"/>
              </w:rPr>
              <w:t xml:space="preserve"> </w:t>
            </w:r>
            <w:r>
              <w:t>economia</w:t>
            </w:r>
            <w:r>
              <w:rPr>
                <w:spacing w:val="-13"/>
              </w:rPr>
              <w:t xml:space="preserve"> </w:t>
            </w:r>
            <w:r>
              <w:t>global,</w:t>
            </w:r>
            <w:r>
              <w:rPr>
                <w:spacing w:val="-11"/>
              </w:rPr>
              <w:t xml:space="preserve"> </w:t>
            </w:r>
            <w:r>
              <w:t>as</w:t>
            </w:r>
            <w:r>
              <w:rPr>
                <w:spacing w:val="-13"/>
              </w:rPr>
              <w:t xml:space="preserve"> </w:t>
            </w:r>
            <w:r>
              <w:t>organizações</w:t>
            </w:r>
            <w:r>
              <w:rPr>
                <w:spacing w:val="-10"/>
              </w:rPr>
              <w:t xml:space="preserve"> </w:t>
            </w:r>
            <w:r>
              <w:t>deve</w:t>
            </w:r>
            <w:r>
              <w:t>m</w:t>
            </w:r>
            <w:r>
              <w:rPr>
                <w:spacing w:val="-9"/>
              </w:rPr>
              <w:t xml:space="preserve"> </w:t>
            </w:r>
            <w:r>
              <w:t>definir</w:t>
            </w:r>
            <w:r>
              <w:rPr>
                <w:spacing w:val="-13"/>
              </w:rPr>
              <w:t xml:space="preserve"> </w:t>
            </w:r>
            <w:r>
              <w:t>estratégias</w:t>
            </w:r>
            <w:r>
              <w:rPr>
                <w:spacing w:val="-11"/>
              </w:rPr>
              <w:t xml:space="preserve"> </w:t>
            </w:r>
            <w:r>
              <w:t>sólidas</w:t>
            </w:r>
            <w:r>
              <w:rPr>
                <w:spacing w:val="-10"/>
              </w:rPr>
              <w:t xml:space="preserve"> </w:t>
            </w:r>
            <w:r>
              <w:t>e</w:t>
            </w:r>
            <w:r>
              <w:rPr>
                <w:spacing w:val="-10"/>
              </w:rPr>
              <w:t xml:space="preserve"> </w:t>
            </w:r>
            <w:r>
              <w:t>concertadas</w:t>
            </w:r>
            <w:r>
              <w:rPr>
                <w:spacing w:val="-11"/>
              </w:rPr>
              <w:t xml:space="preserve"> </w:t>
            </w:r>
            <w:r>
              <w:t>no</w:t>
            </w:r>
            <w:r>
              <w:rPr>
                <w:spacing w:val="-9"/>
              </w:rPr>
              <w:t xml:space="preserve"> </w:t>
            </w:r>
            <w:r>
              <w:t>tempo, apostando e investindo em recursos que promovam a diferenciação, de modo a garantir a continuidade do negócio.Tendo em conta a Estratégia 2020, definida pela União Europeia em 2010, a inovação e a qualificação de recursos humanos são pilares fundame</w:t>
            </w:r>
            <w:r>
              <w:t>ntais para a competitividade das organizações, bem como  para  a  diferenciação  e afirmação  das  mesmas</w:t>
            </w:r>
            <w:r>
              <w:rPr>
                <w:spacing w:val="-7"/>
              </w:rPr>
              <w:t xml:space="preserve"> </w:t>
            </w:r>
            <w:r>
              <w:t>nos mercados</w:t>
            </w:r>
            <w:r>
              <w:rPr>
                <w:spacing w:val="31"/>
              </w:rPr>
              <w:t xml:space="preserve"> </w:t>
            </w:r>
            <w:r>
              <w:t>internacionais.</w:t>
            </w:r>
            <w:r>
              <w:tab/>
              <w:t xml:space="preserve">O sector têxtil e </w:t>
            </w:r>
            <w:r>
              <w:rPr>
                <w:spacing w:val="-13"/>
              </w:rPr>
              <w:t xml:space="preserve">d </w:t>
            </w:r>
            <w:r>
              <w:t>vestuário (STV) português ocupa o oitavo lugar (8.º player da União Europeia) na indústria têxtil, co</w:t>
            </w:r>
            <w:r>
              <w:t>m um peso de 4% no volume de negócios e na produção têxtil europeia. Paralelamente ocupa o quinto lugar (5.º player da União Europeia) na indústria de vestuário, com 4% da produção de vestuário na Europa. É considerado um sector “tradicional”, com represen</w:t>
            </w:r>
            <w:r>
              <w:t>tatividade na economia nacional, que nos últimos anos tem enfrentado dificuldades e, ao mesmo tempo, tem encontrado oportunidades de negócio, através da inovação, quer de produtos, quer de processos, como fator relevante na diferenciação face à concorrênci</w:t>
            </w:r>
            <w:r>
              <w:t>a de países de economias emergentes. Para fazer acontecer a inovação nas organizações, são necessários, entre outros recursos, os recursos humanos, que, com as suas competências, conhecimentos, criatividade  e capacidades, são fatores decisivos e essenciai</w:t>
            </w:r>
            <w:r>
              <w:t>s às atividades de inovação. Nesta dissertação, pretende-se investigar as competências e a qualificação de recursos humanos no STV, as práticas de criatividade, bem como em que medida a qualificação dos recursos humanos e a sua criatividade influenciam a c</w:t>
            </w:r>
            <w:r>
              <w:t>apacidade inovadora da organização. Mais do que nunca, para fazer vingar a Estratégia 2020, a aposta nos recursos humanos e na inovação é um tema atual, que pode e deve ser gerido pelas organizações do STV. Para isso, foi selecionada uma amostra de empresa</w:t>
            </w:r>
            <w:r>
              <w:t>s do STV com capacidades inovadoras, as quais, com as suas práticas, se podem tornar exemplo para outras organizações, de forma a alcançar um patamar superior</w:t>
            </w:r>
            <w:r>
              <w:rPr>
                <w:spacing w:val="4"/>
              </w:rPr>
              <w:t xml:space="preserve"> </w:t>
            </w:r>
            <w:r>
              <w:t>na</w:t>
            </w:r>
          </w:p>
          <w:p w14:paraId="570D58FE" w14:textId="77777777" w:rsidR="00A64FC3" w:rsidRDefault="00011CDF">
            <w:pPr>
              <w:pStyle w:val="TableParagraph"/>
              <w:spacing w:before="1"/>
              <w:ind w:left="107"/>
              <w:jc w:val="left"/>
            </w:pPr>
            <w:r>
              <w:t>área da inovação e na gestão de recursos humanos.</w:t>
            </w:r>
          </w:p>
        </w:tc>
      </w:tr>
    </w:tbl>
    <w:p w14:paraId="6AAC56F1" w14:textId="77777777" w:rsidR="00A64FC3" w:rsidRDefault="00A64FC3">
      <w:pPr>
        <w:sectPr w:rsidR="00A64FC3">
          <w:pgSz w:w="11910" w:h="16840"/>
          <w:pgMar w:top="1660" w:right="840" w:bottom="1420" w:left="880" w:header="692" w:footer="1222" w:gutter="0"/>
          <w:cols w:space="720"/>
        </w:sectPr>
      </w:pPr>
    </w:p>
    <w:p w14:paraId="7090445F" w14:textId="77777777" w:rsidR="00A64FC3" w:rsidRDefault="00A64FC3">
      <w:pPr>
        <w:pStyle w:val="BodyText"/>
        <w:rPr>
          <w:rFonts w:ascii="Times New Roman"/>
          <w:i w:val="0"/>
        </w:rPr>
      </w:pPr>
    </w:p>
    <w:p w14:paraId="699BF522" w14:textId="77777777" w:rsidR="00A64FC3" w:rsidRDefault="00A64FC3">
      <w:pPr>
        <w:pStyle w:val="BodyText"/>
        <w:rPr>
          <w:rFonts w:ascii="Times New Roman"/>
          <w:i w:val="0"/>
        </w:rPr>
      </w:pPr>
    </w:p>
    <w:p w14:paraId="1F1806AD" w14:textId="77777777" w:rsidR="00A64FC3" w:rsidRDefault="00A64FC3">
      <w:pPr>
        <w:pStyle w:val="BodyText"/>
        <w:rPr>
          <w:rFonts w:ascii="Times New Roman"/>
          <w:i w:val="0"/>
        </w:rPr>
      </w:pPr>
    </w:p>
    <w:p w14:paraId="77C4CED8" w14:textId="77777777" w:rsidR="00A64FC3" w:rsidRDefault="00A64FC3">
      <w:pPr>
        <w:pStyle w:val="BodyText"/>
        <w:rPr>
          <w:rFonts w:ascii="Times New Roman"/>
          <w:i w:val="0"/>
        </w:rPr>
      </w:pPr>
    </w:p>
    <w:p w14:paraId="544036EB" w14:textId="77777777" w:rsidR="00A64FC3" w:rsidRDefault="00A64FC3">
      <w:pPr>
        <w:pStyle w:val="BodyText"/>
        <w:spacing w:before="10"/>
        <w:rPr>
          <w:rFonts w:ascii="Times New Roman"/>
          <w:i w:val="0"/>
          <w:sz w:val="16"/>
        </w:rPr>
      </w:pPr>
    </w:p>
    <w:p w14:paraId="3E87B85A" w14:textId="77777777" w:rsidR="00A64FC3" w:rsidRDefault="00011CDF">
      <w:pPr>
        <w:pStyle w:val="BodyText"/>
        <w:ind w:left="110"/>
        <w:rPr>
          <w:rFonts w:ascii="Times New Roman"/>
          <w:i w:val="0"/>
        </w:rPr>
      </w:pPr>
      <w:r>
        <w:rPr>
          <w:rFonts w:ascii="Times New Roman"/>
          <w:i w:val="0"/>
        </w:rPr>
      </w:r>
      <w:r>
        <w:rPr>
          <w:rFonts w:ascii="Times New Roman"/>
          <w:i w:val="0"/>
        </w:rPr>
        <w:pict w14:anchorId="0FD69C27">
          <v:shape id="_x0000_s1029" type="#_x0000_t202" style="width:493.5pt;height:34.5pt;mso-left-percent:-10001;mso-top-percent:-10001;mso-position-horizontal:absolute;mso-position-horizontal-relative:char;mso-position-vertical:absolute;mso-position-vertical-relative:line;mso-left-percent:-10001;mso-top-percent:-10001" fillcolor="#a4a4a4" stroked="f">
            <v:fill opacity="32896f"/>
            <v:textbox inset="0,0,0,0">
              <w:txbxContent>
                <w:p w14:paraId="2D8CDCB8" w14:textId="77777777" w:rsidR="00A64FC3" w:rsidRDefault="00011CDF">
                  <w:pPr>
                    <w:spacing w:before="73"/>
                    <w:ind w:left="3706" w:right="3706"/>
                    <w:jc w:val="center"/>
                    <w:rPr>
                      <w:b/>
                      <w:sz w:val="36"/>
                    </w:rPr>
                  </w:pPr>
                  <w:r>
                    <w:rPr>
                      <w:b/>
                      <w:color w:val="FFFFFF"/>
                      <w:sz w:val="36"/>
                    </w:rPr>
                    <w:t xml:space="preserve">Boas </w:t>
                  </w:r>
                  <w:r>
                    <w:rPr>
                      <w:b/>
                      <w:color w:val="FFFFFF"/>
                      <w:sz w:val="36"/>
                    </w:rPr>
                    <w:t>práticas</w:t>
                  </w:r>
                </w:p>
              </w:txbxContent>
            </v:textbox>
            <w10:anchorlock/>
          </v:shape>
        </w:pict>
      </w:r>
    </w:p>
    <w:p w14:paraId="77B82C82" w14:textId="77777777" w:rsidR="00A64FC3" w:rsidRDefault="00A64FC3">
      <w:pPr>
        <w:pStyle w:val="BodyText"/>
        <w:rPr>
          <w:rFonts w:ascii="Times New Roman"/>
          <w:i w:val="0"/>
        </w:rPr>
      </w:pPr>
    </w:p>
    <w:p w14:paraId="6F9072EE" w14:textId="77777777" w:rsidR="00A64FC3" w:rsidRDefault="00A64FC3">
      <w:pPr>
        <w:pStyle w:val="BodyText"/>
        <w:rPr>
          <w:rFonts w:ascii="Times New Roman"/>
          <w:i w:val="0"/>
        </w:rPr>
      </w:pPr>
    </w:p>
    <w:p w14:paraId="13961078" w14:textId="77777777" w:rsidR="00A64FC3" w:rsidRDefault="00A64FC3">
      <w:pPr>
        <w:pStyle w:val="BodyText"/>
        <w:spacing w:before="4" w:after="1"/>
        <w:rPr>
          <w:rFonts w:ascii="Times New Roman"/>
          <w:i w:val="0"/>
          <w:sz w:val="10"/>
        </w:rPr>
      </w:pPr>
    </w:p>
    <w:tbl>
      <w:tblPr>
        <w:tblW w:w="0" w:type="auto"/>
        <w:tblInd w:w="198" w:type="dxa"/>
        <w:tblLayout w:type="fixed"/>
        <w:tblCellMar>
          <w:left w:w="0" w:type="dxa"/>
          <w:right w:w="0" w:type="dxa"/>
        </w:tblCellMar>
        <w:tblLook w:val="01E0" w:firstRow="1" w:lastRow="1" w:firstColumn="1" w:lastColumn="1" w:noHBand="0" w:noVBand="0"/>
      </w:tblPr>
      <w:tblGrid>
        <w:gridCol w:w="9757"/>
      </w:tblGrid>
      <w:tr w:rsidR="00A64FC3" w14:paraId="2DF3519C" w14:textId="77777777">
        <w:trPr>
          <w:trHeight w:val="805"/>
        </w:trPr>
        <w:tc>
          <w:tcPr>
            <w:tcW w:w="9757" w:type="dxa"/>
            <w:tcBorders>
              <w:top w:val="single" w:sz="12" w:space="0" w:color="FFD966"/>
              <w:bottom w:val="single" w:sz="2" w:space="0" w:color="FFD966"/>
            </w:tcBorders>
            <w:shd w:val="clear" w:color="auto" w:fill="FFF1CC"/>
          </w:tcPr>
          <w:p w14:paraId="7F0296BE" w14:textId="77777777" w:rsidR="00A64FC3" w:rsidRDefault="00011CDF">
            <w:pPr>
              <w:pStyle w:val="TableParagraph"/>
              <w:spacing w:line="267" w:lineRule="exact"/>
              <w:ind w:left="1091" w:right="1080"/>
              <w:jc w:val="center"/>
              <w:rPr>
                <w:b/>
              </w:rPr>
            </w:pPr>
            <w:r>
              <w:rPr>
                <w:b/>
              </w:rPr>
              <w:t>Costureiras de Elite</w:t>
            </w:r>
          </w:p>
          <w:p w14:paraId="215DFE59" w14:textId="77777777" w:rsidR="00A64FC3" w:rsidRDefault="00011CDF">
            <w:pPr>
              <w:pStyle w:val="TableParagraph"/>
              <w:spacing w:before="134"/>
              <w:ind w:left="1091" w:right="1083"/>
              <w:jc w:val="center"/>
              <w:rPr>
                <w:b/>
              </w:rPr>
            </w:pPr>
            <w:hyperlink r:id="rId9">
              <w:r>
                <w:rPr>
                  <w:b/>
                  <w:color w:val="0000FF"/>
                  <w:u w:val="single" w:color="0000FF"/>
                </w:rPr>
                <w:t>https://www.citeve.pt/artigo/costureiras_elite</w:t>
              </w:r>
            </w:hyperlink>
          </w:p>
        </w:tc>
      </w:tr>
      <w:tr w:rsidR="00A64FC3" w14:paraId="2D812166" w14:textId="77777777">
        <w:trPr>
          <w:trHeight w:val="5237"/>
        </w:trPr>
        <w:tc>
          <w:tcPr>
            <w:tcW w:w="9757" w:type="dxa"/>
            <w:tcBorders>
              <w:top w:val="single" w:sz="2" w:space="0" w:color="FFD966"/>
              <w:bottom w:val="single" w:sz="2" w:space="0" w:color="FFD966"/>
            </w:tcBorders>
          </w:tcPr>
          <w:p w14:paraId="6A8E86C4" w14:textId="77777777" w:rsidR="00A64FC3" w:rsidRDefault="00011CDF">
            <w:pPr>
              <w:pStyle w:val="TableParagraph"/>
              <w:spacing w:line="360" w:lineRule="auto"/>
              <w:ind w:right="104"/>
            </w:pPr>
            <w:r>
              <w:t>O projeto "Costureiras de Elite" pretendeu elevar a atração e a valorização da profissão de Costureira. O projeto foi desenvolvido durante o ano 2016, tendo sido estabelecida uma parceria entre o CITEVE, o Modatex, o grupo TMG através da sua empresa de con</w:t>
            </w:r>
            <w:r>
              <w:t>feção GPSA - Têxteis, S.A, o IEFP - Instituto do Emprego e Formação Profissional, I.P., o Município de Vila Nova de Famalicão e a Lectra Portugal.</w:t>
            </w:r>
          </w:p>
          <w:p w14:paraId="78D4F6C6" w14:textId="77777777" w:rsidR="00A64FC3" w:rsidRDefault="00011CDF">
            <w:pPr>
              <w:pStyle w:val="TableParagraph"/>
              <w:spacing w:before="1" w:line="360" w:lineRule="auto"/>
              <w:ind w:right="104"/>
            </w:pPr>
            <w:r>
              <w:t>O projeto é inovador no conceito e na forma e promoveu a atratividade de uma atividade profissional com histó</w:t>
            </w:r>
            <w:r>
              <w:t>ria</w:t>
            </w:r>
            <w:r>
              <w:rPr>
                <w:spacing w:val="-8"/>
              </w:rPr>
              <w:t xml:space="preserve"> </w:t>
            </w:r>
            <w:r>
              <w:t>de</w:t>
            </w:r>
            <w:r>
              <w:rPr>
                <w:spacing w:val="-5"/>
              </w:rPr>
              <w:t xml:space="preserve"> </w:t>
            </w:r>
            <w:r>
              <w:t>mestria</w:t>
            </w:r>
            <w:r>
              <w:rPr>
                <w:spacing w:val="-7"/>
              </w:rPr>
              <w:t xml:space="preserve"> </w:t>
            </w:r>
            <w:r>
              <w:t>em</w:t>
            </w:r>
            <w:r>
              <w:rPr>
                <w:spacing w:val="-5"/>
              </w:rPr>
              <w:t xml:space="preserve"> </w:t>
            </w:r>
            <w:r>
              <w:t>Portugal,</w:t>
            </w:r>
            <w:r>
              <w:rPr>
                <w:spacing w:val="-5"/>
              </w:rPr>
              <w:t xml:space="preserve"> </w:t>
            </w:r>
            <w:r>
              <w:t>valorizando</w:t>
            </w:r>
            <w:r>
              <w:rPr>
                <w:spacing w:val="-2"/>
              </w:rPr>
              <w:t xml:space="preserve"> </w:t>
            </w:r>
            <w:r>
              <w:t>quem</w:t>
            </w:r>
            <w:r>
              <w:rPr>
                <w:spacing w:val="-5"/>
              </w:rPr>
              <w:t xml:space="preserve"> </w:t>
            </w:r>
            <w:r>
              <w:t>a</w:t>
            </w:r>
            <w:r>
              <w:rPr>
                <w:spacing w:val="-3"/>
              </w:rPr>
              <w:t xml:space="preserve"> </w:t>
            </w:r>
            <w:r>
              <w:t>desempenha.</w:t>
            </w:r>
            <w:r>
              <w:rPr>
                <w:spacing w:val="-2"/>
              </w:rPr>
              <w:t xml:space="preserve"> </w:t>
            </w:r>
            <w:r>
              <w:t>A</w:t>
            </w:r>
            <w:r>
              <w:rPr>
                <w:spacing w:val="-6"/>
              </w:rPr>
              <w:t xml:space="preserve"> </w:t>
            </w:r>
            <w:r>
              <w:t>formação</w:t>
            </w:r>
            <w:r>
              <w:rPr>
                <w:spacing w:val="-5"/>
              </w:rPr>
              <w:t xml:space="preserve"> </w:t>
            </w:r>
            <w:r>
              <w:t>em</w:t>
            </w:r>
            <w:r>
              <w:rPr>
                <w:spacing w:val="-5"/>
              </w:rPr>
              <w:t xml:space="preserve"> </w:t>
            </w:r>
            <w:r>
              <w:t>Técnicas</w:t>
            </w:r>
            <w:r>
              <w:rPr>
                <w:spacing w:val="-3"/>
              </w:rPr>
              <w:t xml:space="preserve"> </w:t>
            </w:r>
            <w:r>
              <w:t>de</w:t>
            </w:r>
            <w:r>
              <w:rPr>
                <w:spacing w:val="-6"/>
              </w:rPr>
              <w:t xml:space="preserve"> </w:t>
            </w:r>
            <w:r>
              <w:t>Costura</w:t>
            </w:r>
            <w:r>
              <w:rPr>
                <w:spacing w:val="-6"/>
              </w:rPr>
              <w:t xml:space="preserve"> </w:t>
            </w:r>
            <w:r>
              <w:t>deu inputs significativos à construção de um novo perfil e referencial de formação de Costureiro/a, tendo em conta os atuais desafios da indústria da Moda e da pró</w:t>
            </w:r>
            <w:r>
              <w:t>pria</w:t>
            </w:r>
            <w:r>
              <w:rPr>
                <w:spacing w:val="-15"/>
              </w:rPr>
              <w:t xml:space="preserve"> </w:t>
            </w:r>
            <w:r>
              <w:t>sociedade.</w:t>
            </w:r>
          </w:p>
          <w:p w14:paraId="1D0C0783" w14:textId="77777777" w:rsidR="00A64FC3" w:rsidRDefault="00011CDF">
            <w:pPr>
              <w:pStyle w:val="TableParagraph"/>
              <w:spacing w:line="360" w:lineRule="auto"/>
              <w:ind w:right="102"/>
            </w:pPr>
            <w:r>
              <w:t>O</w:t>
            </w:r>
            <w:r>
              <w:rPr>
                <w:spacing w:val="-6"/>
              </w:rPr>
              <w:t xml:space="preserve"> </w:t>
            </w:r>
            <w:r>
              <w:t>projeto</w:t>
            </w:r>
            <w:r>
              <w:rPr>
                <w:spacing w:val="-8"/>
              </w:rPr>
              <w:t xml:space="preserve"> </w:t>
            </w:r>
            <w:r>
              <w:t>“Costureiras</w:t>
            </w:r>
            <w:r>
              <w:rPr>
                <w:spacing w:val="-8"/>
              </w:rPr>
              <w:t xml:space="preserve"> </w:t>
            </w:r>
            <w:r>
              <w:t>de</w:t>
            </w:r>
            <w:r>
              <w:rPr>
                <w:spacing w:val="-8"/>
              </w:rPr>
              <w:t xml:space="preserve"> </w:t>
            </w:r>
            <w:r>
              <w:t>Elite”</w:t>
            </w:r>
            <w:r>
              <w:rPr>
                <w:spacing w:val="-7"/>
              </w:rPr>
              <w:t xml:space="preserve"> </w:t>
            </w:r>
            <w:r>
              <w:t>nasceu</w:t>
            </w:r>
            <w:r>
              <w:rPr>
                <w:spacing w:val="-9"/>
              </w:rPr>
              <w:t xml:space="preserve"> </w:t>
            </w:r>
            <w:r>
              <w:t>de</w:t>
            </w:r>
            <w:r>
              <w:rPr>
                <w:spacing w:val="-6"/>
              </w:rPr>
              <w:t xml:space="preserve"> </w:t>
            </w:r>
            <w:r>
              <w:t>um</w:t>
            </w:r>
            <w:r>
              <w:rPr>
                <w:spacing w:val="-5"/>
              </w:rPr>
              <w:t xml:space="preserve"> </w:t>
            </w:r>
            <w:r>
              <w:t>levantamento</w:t>
            </w:r>
            <w:r>
              <w:rPr>
                <w:spacing w:val="-5"/>
              </w:rPr>
              <w:t xml:space="preserve"> </w:t>
            </w:r>
            <w:r>
              <w:t>de</w:t>
            </w:r>
            <w:r>
              <w:rPr>
                <w:spacing w:val="-6"/>
              </w:rPr>
              <w:t xml:space="preserve"> </w:t>
            </w:r>
            <w:r>
              <w:t>necessidades</w:t>
            </w:r>
            <w:r>
              <w:rPr>
                <w:spacing w:val="-7"/>
              </w:rPr>
              <w:t xml:space="preserve"> </w:t>
            </w:r>
            <w:r>
              <w:t>de</w:t>
            </w:r>
            <w:r>
              <w:rPr>
                <w:spacing w:val="-8"/>
              </w:rPr>
              <w:t xml:space="preserve"> </w:t>
            </w:r>
            <w:r>
              <w:t>recrutamento</w:t>
            </w:r>
            <w:r>
              <w:rPr>
                <w:spacing w:val="-7"/>
              </w:rPr>
              <w:t xml:space="preserve"> </w:t>
            </w:r>
            <w:r>
              <w:t>e</w:t>
            </w:r>
            <w:r>
              <w:rPr>
                <w:spacing w:val="-6"/>
              </w:rPr>
              <w:t xml:space="preserve"> </w:t>
            </w:r>
            <w:r>
              <w:t xml:space="preserve">formação, feito em 2015, junto de um conjunto alargado de empresas, que salientaram a dificuldade em recrutar costureiras. As empresas de confeção </w:t>
            </w:r>
            <w:r>
              <w:t>têm reais dificuldades em recrutar costureiras com qualificação/experiência.</w:t>
            </w:r>
          </w:p>
          <w:p w14:paraId="7188F08C" w14:textId="77777777" w:rsidR="00A64FC3" w:rsidRDefault="00011CDF">
            <w:pPr>
              <w:pStyle w:val="TableParagraph"/>
              <w:spacing w:line="268" w:lineRule="exact"/>
            </w:pPr>
            <w:r>
              <w:t>Tratou-se de um projeto piloto, realizado na GPSA Têxteis S.A., que poderá ser replicado noutras empresas.</w:t>
            </w:r>
          </w:p>
        </w:tc>
      </w:tr>
    </w:tbl>
    <w:p w14:paraId="4DEB0751" w14:textId="77777777" w:rsidR="00A64FC3" w:rsidRDefault="00A64FC3">
      <w:pPr>
        <w:pStyle w:val="BodyText"/>
        <w:rPr>
          <w:rFonts w:ascii="Times New Roman"/>
          <w:i w:val="0"/>
        </w:rPr>
      </w:pPr>
    </w:p>
    <w:p w14:paraId="4C849048" w14:textId="77777777" w:rsidR="00A64FC3" w:rsidRDefault="00A64FC3">
      <w:pPr>
        <w:pStyle w:val="BodyText"/>
        <w:rPr>
          <w:rFonts w:ascii="Times New Roman"/>
          <w:i w:val="0"/>
        </w:rPr>
      </w:pPr>
    </w:p>
    <w:p w14:paraId="149FFC8A" w14:textId="77777777" w:rsidR="00A64FC3" w:rsidRDefault="00A64FC3">
      <w:pPr>
        <w:pStyle w:val="BodyText"/>
        <w:rPr>
          <w:rFonts w:ascii="Times New Roman"/>
          <w:i w:val="0"/>
        </w:rPr>
      </w:pPr>
    </w:p>
    <w:p w14:paraId="58A80090" w14:textId="77777777" w:rsidR="00A64FC3" w:rsidRDefault="00A64FC3">
      <w:pPr>
        <w:pStyle w:val="BodyText"/>
        <w:rPr>
          <w:rFonts w:ascii="Times New Roman"/>
          <w:i w:val="0"/>
        </w:rPr>
      </w:pPr>
    </w:p>
    <w:p w14:paraId="402A8AA0" w14:textId="77777777" w:rsidR="00A64FC3" w:rsidRDefault="00A64FC3">
      <w:pPr>
        <w:pStyle w:val="BodyText"/>
        <w:rPr>
          <w:rFonts w:ascii="Times New Roman"/>
          <w:i w:val="0"/>
        </w:rPr>
      </w:pPr>
    </w:p>
    <w:p w14:paraId="3B14EEB2" w14:textId="77777777" w:rsidR="00A64FC3" w:rsidRDefault="00A64FC3">
      <w:pPr>
        <w:pStyle w:val="BodyText"/>
        <w:spacing w:before="3" w:after="1"/>
        <w:rPr>
          <w:rFonts w:ascii="Times New Roman"/>
          <w:i w:val="0"/>
          <w:sz w:val="13"/>
        </w:rPr>
      </w:pPr>
    </w:p>
    <w:tbl>
      <w:tblPr>
        <w:tblW w:w="0" w:type="auto"/>
        <w:tblInd w:w="198" w:type="dxa"/>
        <w:tblLayout w:type="fixed"/>
        <w:tblCellMar>
          <w:left w:w="0" w:type="dxa"/>
          <w:right w:w="0" w:type="dxa"/>
        </w:tblCellMar>
        <w:tblLook w:val="01E0" w:firstRow="1" w:lastRow="1" w:firstColumn="1" w:lastColumn="1" w:noHBand="0" w:noVBand="0"/>
      </w:tblPr>
      <w:tblGrid>
        <w:gridCol w:w="9757"/>
      </w:tblGrid>
      <w:tr w:rsidR="00A64FC3" w14:paraId="6C699DC1" w14:textId="77777777">
        <w:trPr>
          <w:trHeight w:val="805"/>
        </w:trPr>
        <w:tc>
          <w:tcPr>
            <w:tcW w:w="9757" w:type="dxa"/>
            <w:tcBorders>
              <w:top w:val="single" w:sz="12" w:space="0" w:color="FFD966"/>
              <w:bottom w:val="single" w:sz="2" w:space="0" w:color="FFD966"/>
            </w:tcBorders>
            <w:shd w:val="clear" w:color="auto" w:fill="FFF1CC"/>
          </w:tcPr>
          <w:p w14:paraId="2D1602F3" w14:textId="77777777" w:rsidR="00A64FC3" w:rsidRDefault="00011CDF">
            <w:pPr>
              <w:pStyle w:val="TableParagraph"/>
              <w:spacing w:line="267" w:lineRule="exact"/>
              <w:ind w:left="1091" w:right="1082"/>
              <w:jc w:val="center"/>
              <w:rPr>
                <w:b/>
              </w:rPr>
            </w:pPr>
            <w:r>
              <w:rPr>
                <w:b/>
              </w:rPr>
              <w:t>Competitividade Responsável</w:t>
            </w:r>
          </w:p>
          <w:p w14:paraId="407BE76A" w14:textId="77777777" w:rsidR="00A64FC3" w:rsidRDefault="00011CDF">
            <w:pPr>
              <w:pStyle w:val="TableParagraph"/>
              <w:spacing w:before="134"/>
              <w:ind w:left="1091" w:right="1083"/>
              <w:jc w:val="center"/>
              <w:rPr>
                <w:b/>
              </w:rPr>
            </w:pPr>
            <w:hyperlink r:id="rId10">
              <w:r>
                <w:rPr>
                  <w:b/>
                  <w:color w:val="0000FF"/>
                  <w:u w:val="single" w:color="0000FF"/>
                </w:rPr>
                <w:t>https://www.citeve.pt/artigo/siac_cr</w:t>
              </w:r>
            </w:hyperlink>
          </w:p>
        </w:tc>
      </w:tr>
      <w:tr w:rsidR="00A64FC3" w14:paraId="20ABE1E9" w14:textId="77777777">
        <w:trPr>
          <w:trHeight w:val="2820"/>
        </w:trPr>
        <w:tc>
          <w:tcPr>
            <w:tcW w:w="9757" w:type="dxa"/>
            <w:tcBorders>
              <w:top w:val="single" w:sz="2" w:space="0" w:color="FFD966"/>
              <w:bottom w:val="single" w:sz="2" w:space="0" w:color="FFD966"/>
            </w:tcBorders>
          </w:tcPr>
          <w:p w14:paraId="2AD5E38F" w14:textId="77777777" w:rsidR="00A64FC3" w:rsidRDefault="00011CDF">
            <w:pPr>
              <w:pStyle w:val="TableParagraph"/>
              <w:spacing w:line="360" w:lineRule="auto"/>
              <w:ind w:right="103"/>
            </w:pPr>
            <w:r>
              <w:t>O</w:t>
            </w:r>
            <w:r>
              <w:rPr>
                <w:spacing w:val="-14"/>
              </w:rPr>
              <w:t xml:space="preserve"> </w:t>
            </w:r>
            <w:r>
              <w:t>projeto</w:t>
            </w:r>
            <w:r>
              <w:rPr>
                <w:spacing w:val="-3"/>
              </w:rPr>
              <w:t xml:space="preserve"> </w:t>
            </w:r>
            <w:r>
              <w:t>Competitividade</w:t>
            </w:r>
            <w:r>
              <w:rPr>
                <w:spacing w:val="-15"/>
              </w:rPr>
              <w:t xml:space="preserve"> </w:t>
            </w:r>
            <w:r>
              <w:t>Responsável</w:t>
            </w:r>
            <w:r>
              <w:rPr>
                <w:spacing w:val="-14"/>
              </w:rPr>
              <w:t xml:space="preserve"> </w:t>
            </w:r>
            <w:r>
              <w:t>(CR),</w:t>
            </w:r>
            <w:r>
              <w:rPr>
                <w:spacing w:val="-14"/>
              </w:rPr>
              <w:t xml:space="preserve"> </w:t>
            </w:r>
            <w:r>
              <w:t>desenvolvido</w:t>
            </w:r>
            <w:r>
              <w:rPr>
                <w:spacing w:val="-13"/>
              </w:rPr>
              <w:t xml:space="preserve"> </w:t>
            </w:r>
            <w:r>
              <w:t>no</w:t>
            </w:r>
            <w:r>
              <w:rPr>
                <w:spacing w:val="-12"/>
              </w:rPr>
              <w:t xml:space="preserve"> </w:t>
            </w:r>
            <w:r>
              <w:t>âmbito</w:t>
            </w:r>
            <w:r>
              <w:rPr>
                <w:spacing w:val="-13"/>
              </w:rPr>
              <w:t xml:space="preserve"> </w:t>
            </w:r>
            <w:r>
              <w:t>do</w:t>
            </w:r>
            <w:r>
              <w:rPr>
                <w:spacing w:val="-2"/>
              </w:rPr>
              <w:t xml:space="preserve"> </w:t>
            </w:r>
            <w:r>
              <w:t>Pólo</w:t>
            </w:r>
            <w:r>
              <w:rPr>
                <w:spacing w:val="-12"/>
              </w:rPr>
              <w:t xml:space="preserve"> </w:t>
            </w:r>
            <w:r>
              <w:t>de</w:t>
            </w:r>
            <w:r>
              <w:rPr>
                <w:spacing w:val="-15"/>
              </w:rPr>
              <w:t xml:space="preserve"> </w:t>
            </w:r>
            <w:r>
              <w:t>Competitividade</w:t>
            </w:r>
            <w:r>
              <w:rPr>
                <w:spacing w:val="-13"/>
              </w:rPr>
              <w:t xml:space="preserve"> </w:t>
            </w:r>
            <w:r>
              <w:t>da</w:t>
            </w:r>
            <w:r>
              <w:rPr>
                <w:spacing w:val="-14"/>
              </w:rPr>
              <w:t xml:space="preserve"> </w:t>
            </w:r>
            <w:r>
              <w:t>Moda, visou</w:t>
            </w:r>
            <w:r>
              <w:rPr>
                <w:spacing w:val="-12"/>
              </w:rPr>
              <w:t xml:space="preserve"> </w:t>
            </w:r>
            <w:r>
              <w:t>potenciar</w:t>
            </w:r>
            <w:r>
              <w:rPr>
                <w:spacing w:val="-12"/>
              </w:rPr>
              <w:t xml:space="preserve"> </w:t>
            </w:r>
            <w:r>
              <w:t>as</w:t>
            </w:r>
            <w:r>
              <w:rPr>
                <w:spacing w:val="-11"/>
              </w:rPr>
              <w:t xml:space="preserve"> </w:t>
            </w:r>
            <w:r>
              <w:t>sinergias</w:t>
            </w:r>
            <w:r>
              <w:rPr>
                <w:spacing w:val="-14"/>
              </w:rPr>
              <w:t xml:space="preserve"> </w:t>
            </w:r>
            <w:r>
              <w:t>existentes</w:t>
            </w:r>
            <w:r>
              <w:rPr>
                <w:spacing w:val="-13"/>
              </w:rPr>
              <w:t xml:space="preserve"> </w:t>
            </w:r>
            <w:r>
              <w:t>entre</w:t>
            </w:r>
            <w:r>
              <w:rPr>
                <w:spacing w:val="-12"/>
              </w:rPr>
              <w:t xml:space="preserve"> </w:t>
            </w:r>
            <w:r>
              <w:t>empresas</w:t>
            </w:r>
            <w:r>
              <w:rPr>
                <w:spacing w:val="-13"/>
              </w:rPr>
              <w:t xml:space="preserve"> </w:t>
            </w:r>
            <w:r>
              <w:t>industriais</w:t>
            </w:r>
            <w:r>
              <w:rPr>
                <w:spacing w:val="-11"/>
              </w:rPr>
              <w:t xml:space="preserve"> </w:t>
            </w:r>
            <w:r>
              <w:t>e</w:t>
            </w:r>
            <w:r>
              <w:rPr>
                <w:spacing w:val="-10"/>
              </w:rPr>
              <w:t xml:space="preserve"> </w:t>
            </w:r>
            <w:r>
              <w:t>instituições</w:t>
            </w:r>
            <w:r>
              <w:rPr>
                <w:spacing w:val="-11"/>
              </w:rPr>
              <w:t xml:space="preserve"> </w:t>
            </w:r>
            <w:r>
              <w:t>das</w:t>
            </w:r>
            <w:r>
              <w:rPr>
                <w:spacing w:val="-11"/>
              </w:rPr>
              <w:t xml:space="preserve"> </w:t>
            </w:r>
            <w:r>
              <w:t>fileiras</w:t>
            </w:r>
            <w:r>
              <w:rPr>
                <w:spacing w:val="-11"/>
              </w:rPr>
              <w:t xml:space="preserve"> </w:t>
            </w:r>
            <w:r>
              <w:t>têxteis,</w:t>
            </w:r>
            <w:r>
              <w:rPr>
                <w:spacing w:val="-11"/>
              </w:rPr>
              <w:t xml:space="preserve"> </w:t>
            </w:r>
            <w:r>
              <w:t>vestuário e calçado, contribuindo para a sua sustentabilidade e competitividade à escala</w:t>
            </w:r>
            <w:r>
              <w:rPr>
                <w:spacing w:val="-8"/>
              </w:rPr>
              <w:t xml:space="preserve"> </w:t>
            </w:r>
            <w:r>
              <w:t>mundial.</w:t>
            </w:r>
          </w:p>
          <w:p w14:paraId="6A87B4E5" w14:textId="77777777" w:rsidR="00A64FC3" w:rsidRDefault="00011CDF">
            <w:pPr>
              <w:pStyle w:val="TableParagraph"/>
              <w:spacing w:before="1" w:line="360" w:lineRule="auto"/>
              <w:ind w:right="103"/>
            </w:pPr>
            <w:r>
              <w:t>Assim, o projeto CR assentou em 5 áreas de intervenção que respondem a importantes fatores de difere</w:t>
            </w:r>
            <w:r>
              <w:t>nciação das empresas, numa perspetiva social, ambiental e económica, como sejam, a eficácia produtiva e energética, a motivação dos trabalhadores, a garantia de boas condições de trabalho, e a</w:t>
            </w:r>
          </w:p>
          <w:p w14:paraId="7333AE1F" w14:textId="77777777" w:rsidR="00A64FC3" w:rsidRDefault="00011CDF">
            <w:pPr>
              <w:pStyle w:val="TableParagraph"/>
              <w:spacing w:line="267" w:lineRule="exact"/>
            </w:pPr>
            <w:r>
              <w:t>criação, desenvolvimento e produção sustentada de materiais, produtos e sistemas.</w:t>
            </w:r>
          </w:p>
        </w:tc>
      </w:tr>
    </w:tbl>
    <w:p w14:paraId="7D066ADA" w14:textId="77777777" w:rsidR="00A64FC3" w:rsidRDefault="00A64FC3">
      <w:pPr>
        <w:spacing w:line="267" w:lineRule="exact"/>
        <w:sectPr w:rsidR="00A64FC3">
          <w:pgSz w:w="11910" w:h="16840"/>
          <w:pgMar w:top="1660" w:right="840" w:bottom="1420" w:left="880" w:header="692" w:footer="1222" w:gutter="0"/>
          <w:cols w:space="720"/>
        </w:sectPr>
      </w:pPr>
    </w:p>
    <w:p w14:paraId="7A3E2AC6" w14:textId="77777777" w:rsidR="00A64FC3" w:rsidRDefault="00A64FC3">
      <w:pPr>
        <w:pStyle w:val="BodyText"/>
        <w:rPr>
          <w:rFonts w:ascii="Times New Roman"/>
          <w:i w:val="0"/>
        </w:rPr>
      </w:pPr>
    </w:p>
    <w:p w14:paraId="3DFBD841" w14:textId="77777777" w:rsidR="00A64FC3" w:rsidRDefault="00A64FC3">
      <w:pPr>
        <w:pStyle w:val="BodyText"/>
        <w:rPr>
          <w:rFonts w:ascii="Times New Roman"/>
          <w:i w:val="0"/>
        </w:rPr>
      </w:pPr>
    </w:p>
    <w:p w14:paraId="01A405DE" w14:textId="77777777" w:rsidR="00A64FC3" w:rsidRDefault="00A64FC3">
      <w:pPr>
        <w:pStyle w:val="BodyText"/>
        <w:spacing w:before="2" w:after="1"/>
        <w:rPr>
          <w:rFonts w:ascii="Times New Roman"/>
          <w:i w:val="0"/>
          <w:sz w:val="16"/>
        </w:rPr>
      </w:pPr>
    </w:p>
    <w:p w14:paraId="0C81B75F" w14:textId="77777777" w:rsidR="00A64FC3" w:rsidRDefault="00011CDF">
      <w:pPr>
        <w:pStyle w:val="BodyText"/>
        <w:spacing w:line="20" w:lineRule="exact"/>
        <w:ind w:left="197"/>
        <w:rPr>
          <w:rFonts w:ascii="Times New Roman"/>
          <w:i w:val="0"/>
          <w:sz w:val="2"/>
        </w:rPr>
      </w:pPr>
      <w:r>
        <w:rPr>
          <w:rFonts w:ascii="Times New Roman"/>
          <w:i w:val="0"/>
          <w:sz w:val="2"/>
        </w:rPr>
      </w:r>
      <w:r>
        <w:rPr>
          <w:rFonts w:ascii="Times New Roman"/>
          <w:i w:val="0"/>
          <w:sz w:val="2"/>
        </w:rPr>
        <w:pict w14:anchorId="78DF87B4">
          <v:group id="_x0000_s1027" style="width:487.45pt;height:.25pt;mso-position-horizontal-relative:char;mso-position-vertical-relative:line" coordsize="9749,5">
            <v:line id="_x0000_s1028" style="position:absolute" from="0,2" to="9748,2" strokecolor="#ffd966" strokeweight=".24pt"/>
            <w10:anchorlock/>
          </v:group>
        </w:pict>
      </w:r>
    </w:p>
    <w:p w14:paraId="676460F2" w14:textId="77777777" w:rsidR="00A64FC3" w:rsidRDefault="00011CDF">
      <w:pPr>
        <w:pStyle w:val="Heading2"/>
        <w:spacing w:line="253" w:lineRule="exact"/>
      </w:pPr>
      <w:r>
        <w:t>Um dos objetivos, contemplou a promoção, reconversão e/ou desenvolvimento de novas com</w:t>
      </w:r>
      <w:r>
        <w:t>petências,</w:t>
      </w:r>
    </w:p>
    <w:p w14:paraId="10E81A6B" w14:textId="77777777" w:rsidR="00A64FC3" w:rsidRDefault="00011CDF">
      <w:pPr>
        <w:spacing w:before="134"/>
        <w:ind w:left="307"/>
      </w:pPr>
      <w:r>
        <w:pict w14:anchorId="3265EA4B">
          <v:line id="_x0000_s1026" style="position:absolute;left:0;text-align:left;z-index:-251659776;mso-wrap-distance-left:0;mso-wrap-distance-right:0;mso-position-horizontal-relative:page" from="53.3pt,27pt" to="541.4pt,27pt" strokecolor="#ffd966" strokeweight=".24pt">
            <w10:wrap type="topAndBottom" anchorx="page"/>
          </v:line>
        </w:pict>
      </w:r>
      <w:r>
        <w:t>apoiando a colocação de alunos de escolas técnico-profissionais em estágios do sector têxtil e vestuário.</w:t>
      </w:r>
    </w:p>
    <w:p w14:paraId="334A2548" w14:textId="77777777" w:rsidR="00A64FC3" w:rsidRDefault="00A64FC3">
      <w:pPr>
        <w:rPr>
          <w:sz w:val="20"/>
        </w:rPr>
      </w:pPr>
    </w:p>
    <w:p w14:paraId="3E850DA7" w14:textId="77777777" w:rsidR="00A64FC3" w:rsidRDefault="00A64FC3">
      <w:pPr>
        <w:rPr>
          <w:sz w:val="20"/>
        </w:rPr>
      </w:pPr>
    </w:p>
    <w:p w14:paraId="116998FC" w14:textId="77777777" w:rsidR="00A64FC3" w:rsidRDefault="00A64FC3">
      <w:pPr>
        <w:spacing w:before="4" w:after="1"/>
        <w:rPr>
          <w:sz w:val="27"/>
        </w:rPr>
      </w:pPr>
    </w:p>
    <w:tbl>
      <w:tblPr>
        <w:tblW w:w="0" w:type="auto"/>
        <w:tblInd w:w="198" w:type="dxa"/>
        <w:tblLayout w:type="fixed"/>
        <w:tblCellMar>
          <w:left w:w="0" w:type="dxa"/>
          <w:right w:w="0" w:type="dxa"/>
        </w:tblCellMar>
        <w:tblLook w:val="01E0" w:firstRow="1" w:lastRow="1" w:firstColumn="1" w:lastColumn="1" w:noHBand="0" w:noVBand="0"/>
      </w:tblPr>
      <w:tblGrid>
        <w:gridCol w:w="9757"/>
      </w:tblGrid>
      <w:tr w:rsidR="00A64FC3" w14:paraId="343A99B9" w14:textId="77777777">
        <w:trPr>
          <w:trHeight w:val="805"/>
        </w:trPr>
        <w:tc>
          <w:tcPr>
            <w:tcW w:w="9757" w:type="dxa"/>
            <w:tcBorders>
              <w:top w:val="single" w:sz="12" w:space="0" w:color="FFD966"/>
              <w:bottom w:val="single" w:sz="2" w:space="0" w:color="FFD966"/>
            </w:tcBorders>
            <w:shd w:val="clear" w:color="auto" w:fill="FFF1CC"/>
          </w:tcPr>
          <w:p w14:paraId="1B1EC2CE" w14:textId="77777777" w:rsidR="00A64FC3" w:rsidRDefault="00011CDF">
            <w:pPr>
              <w:pStyle w:val="TableParagraph"/>
              <w:spacing w:line="267" w:lineRule="exact"/>
              <w:ind w:left="1091" w:right="1081"/>
              <w:jc w:val="center"/>
              <w:rPr>
                <w:b/>
              </w:rPr>
            </w:pPr>
            <w:r>
              <w:rPr>
                <w:b/>
              </w:rPr>
              <w:t>Petratex: uma rampa de lançamento para o emprego</w:t>
            </w:r>
          </w:p>
          <w:p w14:paraId="062428B7" w14:textId="77777777" w:rsidR="00A64FC3" w:rsidRDefault="00011CDF">
            <w:pPr>
              <w:pStyle w:val="TableParagraph"/>
              <w:spacing w:before="134"/>
              <w:ind w:left="1091" w:right="1086"/>
              <w:jc w:val="center"/>
              <w:rPr>
                <w:b/>
              </w:rPr>
            </w:pPr>
            <w:hyperlink r:id="rId11">
              <w:r>
                <w:rPr>
                  <w:b/>
                  <w:color w:val="0000FF"/>
                  <w:u w:val="single" w:color="0000FF"/>
                </w:rPr>
                <w:t>http://www.petratex.com/formacaoprofissional</w:t>
              </w:r>
            </w:hyperlink>
          </w:p>
        </w:tc>
      </w:tr>
      <w:tr w:rsidR="00A64FC3" w14:paraId="6CA1B698" w14:textId="77777777">
        <w:trPr>
          <w:trHeight w:val="3223"/>
        </w:trPr>
        <w:tc>
          <w:tcPr>
            <w:tcW w:w="9757" w:type="dxa"/>
            <w:tcBorders>
              <w:top w:val="single" w:sz="2" w:space="0" w:color="FFD966"/>
              <w:bottom w:val="single" w:sz="2" w:space="0" w:color="FFD966"/>
            </w:tcBorders>
          </w:tcPr>
          <w:p w14:paraId="47280C3F" w14:textId="77777777" w:rsidR="00A64FC3" w:rsidRDefault="00011CDF">
            <w:pPr>
              <w:pStyle w:val="TableParagraph"/>
              <w:spacing w:line="360" w:lineRule="auto"/>
              <w:ind w:right="104" w:firstLine="50"/>
            </w:pPr>
            <w:r>
              <w:t>Em 2014 em parceria com a MODATEX e com o Centro de Emprego de Penafiel, a PETRATEX promoveu a oportunidade de vários jovens fazerem parte de uma es</w:t>
            </w:r>
            <w:r>
              <w:t>tratégia de formação integrada e adquirirem um conjunto de competências alinhadas com as actuais necessidades do mercado e da empresa.</w:t>
            </w:r>
          </w:p>
          <w:p w14:paraId="666AB602" w14:textId="77777777" w:rsidR="00A64FC3" w:rsidRDefault="00011CDF">
            <w:pPr>
              <w:pStyle w:val="TableParagraph"/>
              <w:spacing w:before="1" w:line="360" w:lineRule="auto"/>
              <w:ind w:right="219"/>
              <w:jc w:val="left"/>
            </w:pPr>
            <w:r>
              <w:t>O curso apostou no método de formação modular, com um total de 695 horas de formação, divididas em três módulos distintos</w:t>
            </w:r>
            <w:r>
              <w:t>.</w:t>
            </w:r>
          </w:p>
          <w:p w14:paraId="26D564DD" w14:textId="77777777" w:rsidR="00A64FC3" w:rsidRDefault="00011CDF">
            <w:pPr>
              <w:pStyle w:val="TableParagraph"/>
              <w:spacing w:line="360" w:lineRule="auto"/>
              <w:ind w:right="105"/>
            </w:pPr>
            <w:r>
              <w:t>Sendo leccionado dentro da própria empresa, integrando diversas ferramentas de aprendizagem (entre recursos e atividades). O curso ofereceu a possibilidade de experienciarem uma interação mais próxima</w:t>
            </w:r>
          </w:p>
          <w:p w14:paraId="638B289B" w14:textId="77777777" w:rsidR="00A64FC3" w:rsidRDefault="00011CDF">
            <w:pPr>
              <w:pStyle w:val="TableParagraph"/>
            </w:pPr>
            <w:r>
              <w:t>com os restantes trabalhadores e responsáveis da Petratex.</w:t>
            </w:r>
          </w:p>
        </w:tc>
      </w:tr>
    </w:tbl>
    <w:p w14:paraId="12E6E1D4" w14:textId="77777777" w:rsidR="00A64FC3" w:rsidRDefault="00A64FC3">
      <w:pPr>
        <w:rPr>
          <w:sz w:val="20"/>
        </w:rPr>
      </w:pPr>
    </w:p>
    <w:p w14:paraId="3E723830" w14:textId="77777777" w:rsidR="00A64FC3" w:rsidRDefault="00A64FC3">
      <w:pPr>
        <w:rPr>
          <w:sz w:val="20"/>
        </w:rPr>
      </w:pPr>
    </w:p>
    <w:p w14:paraId="3EE26FCA" w14:textId="77777777" w:rsidR="00A64FC3" w:rsidRDefault="00A64FC3">
      <w:pPr>
        <w:spacing w:before="9" w:after="1"/>
        <w:rPr>
          <w:sz w:val="29"/>
        </w:rPr>
      </w:pPr>
    </w:p>
    <w:tbl>
      <w:tblPr>
        <w:tblW w:w="0" w:type="auto"/>
        <w:tblInd w:w="198" w:type="dxa"/>
        <w:tblLayout w:type="fixed"/>
        <w:tblCellMar>
          <w:left w:w="0" w:type="dxa"/>
          <w:right w:w="0" w:type="dxa"/>
        </w:tblCellMar>
        <w:tblLook w:val="01E0" w:firstRow="1" w:lastRow="1" w:firstColumn="1" w:lastColumn="1" w:noHBand="0" w:noVBand="0"/>
      </w:tblPr>
      <w:tblGrid>
        <w:gridCol w:w="9757"/>
      </w:tblGrid>
      <w:tr w:rsidR="00A64FC3" w14:paraId="3C75F5D9" w14:textId="77777777">
        <w:trPr>
          <w:trHeight w:val="808"/>
        </w:trPr>
        <w:tc>
          <w:tcPr>
            <w:tcW w:w="9757" w:type="dxa"/>
            <w:tcBorders>
              <w:top w:val="single" w:sz="12" w:space="0" w:color="FFD966"/>
              <w:bottom w:val="single" w:sz="2" w:space="0" w:color="FFD966"/>
            </w:tcBorders>
            <w:shd w:val="clear" w:color="auto" w:fill="FFF1CC"/>
          </w:tcPr>
          <w:p w14:paraId="0FE776DF" w14:textId="77777777" w:rsidR="00A64FC3" w:rsidRDefault="00011CDF">
            <w:pPr>
              <w:pStyle w:val="TableParagraph"/>
              <w:spacing w:before="1"/>
              <w:ind w:left="1091" w:right="1087"/>
              <w:jc w:val="center"/>
              <w:rPr>
                <w:b/>
              </w:rPr>
            </w:pPr>
            <w:r>
              <w:rPr>
                <w:b/>
              </w:rPr>
              <w:t>RIFIA Projeto de Reflexão para a Intervenção na Formação e Integração de Adultos</w:t>
            </w:r>
          </w:p>
          <w:p w14:paraId="3DC7FE5C" w14:textId="77777777" w:rsidR="00A64FC3" w:rsidRDefault="00011CDF">
            <w:pPr>
              <w:pStyle w:val="TableParagraph"/>
              <w:spacing w:before="135"/>
              <w:ind w:left="1091" w:right="1086"/>
              <w:jc w:val="center"/>
              <w:rPr>
                <w:b/>
              </w:rPr>
            </w:pPr>
            <w:hyperlink r:id="rId12">
              <w:r>
                <w:rPr>
                  <w:b/>
                  <w:color w:val="0000FF"/>
                  <w:u w:val="single" w:color="0000FF"/>
                </w:rPr>
                <w:t>https://erasmusmais.pt/uploads/documents/a.pdf</w:t>
              </w:r>
            </w:hyperlink>
          </w:p>
        </w:tc>
      </w:tr>
      <w:tr w:rsidR="00A64FC3" w14:paraId="3304C3F9" w14:textId="77777777">
        <w:trPr>
          <w:trHeight w:val="2416"/>
        </w:trPr>
        <w:tc>
          <w:tcPr>
            <w:tcW w:w="9757" w:type="dxa"/>
            <w:tcBorders>
              <w:top w:val="single" w:sz="2" w:space="0" w:color="FFD966"/>
              <w:bottom w:val="single" w:sz="2" w:space="0" w:color="FFD966"/>
            </w:tcBorders>
          </w:tcPr>
          <w:p w14:paraId="14656B4A" w14:textId="77777777" w:rsidR="00A64FC3" w:rsidRDefault="00011CDF">
            <w:pPr>
              <w:pStyle w:val="TableParagraph"/>
              <w:spacing w:line="268" w:lineRule="exact"/>
              <w:jc w:val="left"/>
            </w:pPr>
            <w:r>
              <w:t>Projeto no âmbito do programa Erasmus +.</w:t>
            </w:r>
          </w:p>
          <w:p w14:paraId="11D1A71D" w14:textId="77777777" w:rsidR="00A64FC3" w:rsidRDefault="00011CDF">
            <w:pPr>
              <w:pStyle w:val="TableParagraph"/>
              <w:spacing w:before="18" w:line="404" w:lineRule="exact"/>
              <w:ind w:right="104"/>
            </w:pPr>
            <w:r>
              <w:t>Objetivos: Melhoria das competências formativas do corpo docente envolvido na educação de adultos; › Criação de um espaço para refletir e adquirir as metodologias diferenciadas no âmbito da educação de adultos; › Melhoria das competências digitais dos form</w:t>
            </w:r>
            <w:r>
              <w:t>andos adultos; › Integração de adultos com baixos níveis de qualificação, formação e empregabilidade, ajudando-os a alcançar o sucesso, a melhorar a sua autoestima e a agir como cidadãos europeus ativos e qualificados.</w:t>
            </w:r>
          </w:p>
        </w:tc>
      </w:tr>
    </w:tbl>
    <w:p w14:paraId="58DF0963" w14:textId="77777777" w:rsidR="00000000" w:rsidRDefault="00011CDF"/>
    <w:sectPr w:rsidR="00000000">
      <w:pgSz w:w="11910" w:h="16840"/>
      <w:pgMar w:top="1660" w:right="840" w:bottom="1420" w:left="880" w:header="692" w:footer="12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AF96E" w14:textId="77777777" w:rsidR="00000000" w:rsidRDefault="00011CDF">
      <w:r>
        <w:separator/>
      </w:r>
    </w:p>
  </w:endnote>
  <w:endnote w:type="continuationSeparator" w:id="0">
    <w:p w14:paraId="3487AE12" w14:textId="77777777" w:rsidR="00000000" w:rsidRDefault="0001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CB3F5" w14:textId="77777777" w:rsidR="00A64FC3" w:rsidRDefault="00011CDF">
    <w:pPr>
      <w:pStyle w:val="BodyText"/>
      <w:spacing w:line="14" w:lineRule="auto"/>
      <w:rPr>
        <w:i w:val="0"/>
      </w:rPr>
    </w:pPr>
    <w:r>
      <w:pict w14:anchorId="4643E6DC">
        <v:shapetype id="_x0000_t202" coordsize="21600,21600" o:spt="202" path="m,l,21600r21600,l21600,xe">
          <v:stroke joinstyle="miter"/>
          <v:path gradientshapeok="t" o:connecttype="rect"/>
        </v:shapetype>
        <v:shape id="_x0000_s2049" type="#_x0000_t202" style="position:absolute;margin-left:62.95pt;margin-top:769.85pt;width:468.7pt;height:24.2pt;z-index:-251657728;mso-position-horizontal-relative:page;mso-position-vertical-relative:page" filled="f" stroked="f">
          <v:textbox inset="0,0,0,0">
            <w:txbxContent>
              <w:p w14:paraId="44389A52" w14:textId="77777777" w:rsidR="00A64FC3" w:rsidRDefault="00011CDF">
                <w:pPr>
                  <w:pStyle w:val="BodyText"/>
                  <w:spacing w:line="223" w:lineRule="exact"/>
                  <w:jc w:val="center"/>
                </w:pPr>
                <w:r>
                  <w:t>Este projeto é financiado com o apoio da Comissão Europeia. Esta publicação reflete os pontos de vista do autor e a</w:t>
                </w:r>
              </w:p>
              <w:p w14:paraId="4A850A8A" w14:textId="77777777" w:rsidR="00A64FC3" w:rsidRDefault="00011CDF">
                <w:pPr>
                  <w:pStyle w:val="BodyText"/>
                  <w:ind w:left="11"/>
                  <w:jc w:val="center"/>
                </w:pPr>
                <w:r>
                  <w:t>Comissão não poderá ser responsabilizada por qualquer utilização da informação nela contida</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A1A4A" w14:textId="77777777" w:rsidR="00000000" w:rsidRDefault="00011CDF">
      <w:r>
        <w:separator/>
      </w:r>
    </w:p>
  </w:footnote>
  <w:footnote w:type="continuationSeparator" w:id="0">
    <w:p w14:paraId="69681B65" w14:textId="77777777" w:rsidR="00000000" w:rsidRDefault="00011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9ED66" w14:textId="77777777" w:rsidR="00011CDF" w:rsidRDefault="00011CDF" w:rsidP="00011CDF">
    <w:pPr>
      <w:pStyle w:val="Header"/>
    </w:pPr>
    <w:r>
      <w:rPr>
        <w:noProof/>
      </w:rPr>
      <w:drawing>
        <wp:anchor distT="0" distB="0" distL="114300" distR="114300" simplePos="0" relativeHeight="251661824" behindDoc="1" locked="0" layoutInCell="1" allowOverlap="1" wp14:anchorId="22B544D0" wp14:editId="1F1DA27A">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4EEEDDAA" wp14:editId="3CBA973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5D477490" wp14:editId="194FADE1">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7739BAEE" w14:textId="2EA123A7" w:rsidR="00A64FC3" w:rsidRPr="00011CDF" w:rsidRDefault="00A64FC3" w:rsidP="00011C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64FC3"/>
    <w:rsid w:val="00011CDF"/>
    <w:rsid w:val="00A64FC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551B66"/>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pt-PT" w:eastAsia="pt-PT" w:bidi="pt-PT"/>
    </w:rPr>
  </w:style>
  <w:style w:type="paragraph" w:styleId="Heading1">
    <w:name w:val="heading 1"/>
    <w:basedOn w:val="Normal"/>
    <w:uiPriority w:val="9"/>
    <w:qFormat/>
    <w:pPr>
      <w:ind w:left="398" w:right="438"/>
      <w:jc w:val="center"/>
      <w:outlineLvl w:val="0"/>
    </w:pPr>
    <w:rPr>
      <w:b/>
      <w:bCs/>
      <w:sz w:val="56"/>
      <w:szCs w:val="56"/>
    </w:rPr>
  </w:style>
  <w:style w:type="paragraph" w:styleId="Heading2">
    <w:name w:val="heading 2"/>
    <w:basedOn w:val="Normal"/>
    <w:uiPriority w:val="9"/>
    <w:unhideWhenUsed/>
    <w:qFormat/>
    <w:pPr>
      <w:ind w:left="307"/>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7"/>
      <w:jc w:val="both"/>
    </w:pPr>
  </w:style>
  <w:style w:type="paragraph" w:styleId="Header">
    <w:name w:val="header"/>
    <w:basedOn w:val="Normal"/>
    <w:link w:val="HeaderChar"/>
    <w:uiPriority w:val="99"/>
    <w:unhideWhenUsed/>
    <w:rsid w:val="00011CDF"/>
    <w:pPr>
      <w:tabs>
        <w:tab w:val="center" w:pos="4536"/>
        <w:tab w:val="right" w:pos="9072"/>
      </w:tabs>
    </w:pPr>
  </w:style>
  <w:style w:type="character" w:customStyle="1" w:styleId="HeaderChar">
    <w:name w:val="Header Char"/>
    <w:basedOn w:val="DefaultParagraphFont"/>
    <w:link w:val="Header"/>
    <w:uiPriority w:val="99"/>
    <w:rsid w:val="00011CDF"/>
    <w:rPr>
      <w:rFonts w:ascii="Calibri" w:eastAsia="Calibri" w:hAnsi="Calibri" w:cs="Calibri"/>
      <w:lang w:val="pt-PT" w:eastAsia="pt-PT" w:bidi="pt-PT"/>
    </w:rPr>
  </w:style>
  <w:style w:type="paragraph" w:styleId="Footer">
    <w:name w:val="footer"/>
    <w:basedOn w:val="Normal"/>
    <w:link w:val="FooterChar"/>
    <w:uiPriority w:val="99"/>
    <w:unhideWhenUsed/>
    <w:rsid w:val="00011CDF"/>
    <w:pPr>
      <w:tabs>
        <w:tab w:val="center" w:pos="4536"/>
        <w:tab w:val="right" w:pos="9072"/>
      </w:tabs>
    </w:pPr>
  </w:style>
  <w:style w:type="character" w:customStyle="1" w:styleId="FooterChar">
    <w:name w:val="Footer Char"/>
    <w:basedOn w:val="DefaultParagraphFont"/>
    <w:link w:val="Footer"/>
    <w:uiPriority w:val="99"/>
    <w:rsid w:val="00011CDF"/>
    <w:rPr>
      <w:rFonts w:ascii="Calibri" w:eastAsia="Calibri" w:hAnsi="Calibri" w:cs="Calibri"/>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positorium.sdum.uminho.pt/handle/1822/3385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s://erasmusmais.pt/uploads/documents/a.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petratex.com/formacaoprofissional" TargetMode="External"/><Relationship Id="rId5" Type="http://schemas.openxmlformats.org/officeDocument/2006/relationships/endnotes" Target="endnotes.xml"/><Relationship Id="rId10" Type="http://schemas.openxmlformats.org/officeDocument/2006/relationships/hyperlink" Target="https://www.citeve.pt/artigo/siac_cr" TargetMode="External"/><Relationship Id="rId4" Type="http://schemas.openxmlformats.org/officeDocument/2006/relationships/footnotes" Target="footnotes.xml"/><Relationship Id="rId9" Type="http://schemas.openxmlformats.org/officeDocument/2006/relationships/hyperlink" Target="https://www.citeve.pt/artigo/costureiras_elit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1013</Words>
  <Characters>5574</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Jenkins</dc:creator>
  <cp:lastModifiedBy>Margareta von Heland</cp:lastModifiedBy>
  <cp:revision>2</cp:revision>
  <dcterms:created xsi:type="dcterms:W3CDTF">2019-01-16T17:16:00Z</dcterms:created>
  <dcterms:modified xsi:type="dcterms:W3CDTF">2019-01-16T17:17:00Z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2018-05-15T00:00:00Z</vt:filetime>
  </property>
  <property fmtid="{D5CDD505-2E9C-101B-9397-08002B2CF9AE}" pid="3" name="Creator">
    <vt:lpwstr>Microsoft® Word 2016</vt:lpwstr>
  </property>
  <property fmtid="{D5CDD505-2E9C-101B-9397-08002B2CF9AE}" pid="4" name="LastSaved">
    <vt:filetime>2019-01-16T00:00:00Z</vt:filetime>
  </property>
</Properties>
</file>