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78DC2" w14:textId="77777777" w:rsidR="00B83B39" w:rsidRDefault="00B83B39">
      <w:pPr>
        <w:pStyle w:val="BodyText"/>
        <w:rPr>
          <w:rFonts w:ascii="Times New Roman"/>
          <w:sz w:val="20"/>
        </w:rPr>
      </w:pPr>
    </w:p>
    <w:p w14:paraId="3D563234" w14:textId="77777777" w:rsidR="00B83B39" w:rsidRDefault="00B83B39">
      <w:pPr>
        <w:pStyle w:val="BodyText"/>
        <w:rPr>
          <w:rFonts w:ascii="Times New Roman"/>
          <w:sz w:val="20"/>
        </w:rPr>
      </w:pPr>
    </w:p>
    <w:p w14:paraId="2ED0CFEE" w14:textId="77777777" w:rsidR="00B83B39" w:rsidRDefault="00B83B39">
      <w:pPr>
        <w:pStyle w:val="BodyText"/>
        <w:rPr>
          <w:rFonts w:ascii="Times New Roman"/>
          <w:sz w:val="20"/>
        </w:rPr>
      </w:pPr>
    </w:p>
    <w:p w14:paraId="1BC5AB8A" w14:textId="77777777" w:rsidR="00B83B39" w:rsidRDefault="00B83B39">
      <w:pPr>
        <w:pStyle w:val="BodyText"/>
        <w:rPr>
          <w:rFonts w:ascii="Times New Roman"/>
          <w:sz w:val="20"/>
        </w:rPr>
      </w:pPr>
    </w:p>
    <w:p w14:paraId="09528AF4" w14:textId="77777777" w:rsidR="00B83B39" w:rsidRDefault="00B83B39">
      <w:pPr>
        <w:pStyle w:val="BodyText"/>
        <w:rPr>
          <w:rFonts w:ascii="Times New Roman"/>
          <w:sz w:val="20"/>
        </w:rPr>
      </w:pPr>
    </w:p>
    <w:p w14:paraId="3EA9607F" w14:textId="77777777" w:rsidR="00B83B39" w:rsidRDefault="00B83B39">
      <w:pPr>
        <w:pStyle w:val="BodyText"/>
        <w:rPr>
          <w:rFonts w:ascii="Times New Roman"/>
          <w:sz w:val="20"/>
        </w:rPr>
      </w:pPr>
    </w:p>
    <w:p w14:paraId="02E7C846" w14:textId="77777777" w:rsidR="00B83B39" w:rsidRDefault="00B83B39">
      <w:pPr>
        <w:pStyle w:val="BodyText"/>
        <w:spacing w:before="10"/>
        <w:rPr>
          <w:rFonts w:ascii="Times New Roman"/>
          <w:sz w:val="28"/>
        </w:rPr>
      </w:pPr>
    </w:p>
    <w:p w14:paraId="10FADAA2" w14:textId="77777777" w:rsidR="00B83B39" w:rsidRDefault="00C272FF">
      <w:pPr>
        <w:pStyle w:val="Heading1"/>
        <w:spacing w:line="670" w:lineRule="exact"/>
        <w:ind w:left="626" w:right="0"/>
        <w:jc w:val="left"/>
      </w:pPr>
      <w:r>
        <w:t>Iniciativa de Estratégia Integrada para</w:t>
      </w:r>
    </w:p>
    <w:p w14:paraId="02A22AFC" w14:textId="77777777" w:rsidR="00B83B39" w:rsidRDefault="00C272FF">
      <w:pPr>
        <w:ind w:left="324" w:right="398"/>
        <w:jc w:val="center"/>
        <w:rPr>
          <w:b/>
          <w:sz w:val="56"/>
        </w:rPr>
      </w:pPr>
      <w:r>
        <w:rPr>
          <w:b/>
          <w:sz w:val="56"/>
        </w:rPr>
        <w:t>promover e reforçar a oferta de Práticas de Aprendizagem/Estágios no Sector Têxtil</w:t>
      </w:r>
    </w:p>
    <w:p w14:paraId="2257BD85" w14:textId="77777777" w:rsidR="00B83B39" w:rsidRDefault="00B83B39">
      <w:pPr>
        <w:pStyle w:val="BodyText"/>
        <w:rPr>
          <w:b/>
          <w:sz w:val="56"/>
        </w:rPr>
      </w:pPr>
    </w:p>
    <w:p w14:paraId="1B0E6519" w14:textId="77777777" w:rsidR="00B83B39" w:rsidRDefault="00B83B39">
      <w:pPr>
        <w:pStyle w:val="BodyText"/>
        <w:rPr>
          <w:b/>
          <w:sz w:val="56"/>
        </w:rPr>
      </w:pPr>
    </w:p>
    <w:p w14:paraId="12492908" w14:textId="77777777" w:rsidR="00B83B39" w:rsidRDefault="00B83B39">
      <w:pPr>
        <w:pStyle w:val="BodyText"/>
        <w:spacing w:before="1"/>
        <w:rPr>
          <w:b/>
          <w:sz w:val="56"/>
        </w:rPr>
      </w:pPr>
    </w:p>
    <w:p w14:paraId="1BB7CD2F" w14:textId="77777777" w:rsidR="00B83B39" w:rsidRDefault="00C272FF">
      <w:pPr>
        <w:ind w:left="318" w:right="398"/>
        <w:jc w:val="center"/>
        <w:rPr>
          <w:b/>
          <w:sz w:val="56"/>
        </w:rPr>
      </w:pPr>
      <w:r>
        <w:rPr>
          <w:b/>
          <w:sz w:val="56"/>
        </w:rPr>
        <w:t>TEXAPP - WP3.2</w:t>
      </w:r>
    </w:p>
    <w:p w14:paraId="75473D2B" w14:textId="77777777" w:rsidR="00B83B39" w:rsidRDefault="00B83B39">
      <w:pPr>
        <w:pStyle w:val="BodyText"/>
        <w:rPr>
          <w:b/>
          <w:sz w:val="20"/>
        </w:rPr>
      </w:pPr>
    </w:p>
    <w:p w14:paraId="49028432" w14:textId="77777777" w:rsidR="00B83B39" w:rsidRDefault="00B83B39">
      <w:pPr>
        <w:pStyle w:val="BodyText"/>
        <w:rPr>
          <w:b/>
          <w:sz w:val="20"/>
        </w:rPr>
      </w:pPr>
    </w:p>
    <w:p w14:paraId="00964976" w14:textId="77777777" w:rsidR="00B83B39" w:rsidRDefault="00C272FF">
      <w:pPr>
        <w:pStyle w:val="BodyText"/>
        <w:spacing w:before="8"/>
        <w:rPr>
          <w:b/>
          <w:sz w:val="12"/>
        </w:rPr>
      </w:pPr>
      <w:r>
        <w:pict w14:anchorId="5A34262F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97.1pt;margin-top:9.95pt;width:401.15pt;height:49.45pt;z-index:-251654144;mso-wrap-distance-left:0;mso-wrap-distance-right:0;mso-position-horizontal-relative:page" fillcolor="#d4dce3" strokeweight=".48pt">
            <v:textbox inset="0,0,0,0">
              <w:txbxContent>
                <w:p w14:paraId="201BEE7E" w14:textId="77777777" w:rsidR="00B83B39" w:rsidRDefault="00C272FF">
                  <w:pPr>
                    <w:ind w:left="2518" w:hanging="728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Financiamento para programas aprendizagem/estágio</w:t>
                  </w:r>
                </w:p>
              </w:txbxContent>
            </v:textbox>
            <w10:wrap type="topAndBottom" anchorx="page"/>
          </v:shape>
        </w:pict>
      </w:r>
    </w:p>
    <w:p w14:paraId="208CD86F" w14:textId="77777777" w:rsidR="00B83B39" w:rsidRDefault="00B83B39">
      <w:pPr>
        <w:pStyle w:val="BodyText"/>
        <w:rPr>
          <w:b/>
          <w:sz w:val="20"/>
        </w:rPr>
      </w:pPr>
    </w:p>
    <w:p w14:paraId="5657E660" w14:textId="77777777" w:rsidR="00B83B39" w:rsidRDefault="00B83B39">
      <w:pPr>
        <w:pStyle w:val="BodyText"/>
        <w:rPr>
          <w:b/>
          <w:sz w:val="20"/>
        </w:rPr>
      </w:pPr>
    </w:p>
    <w:p w14:paraId="052DE43B" w14:textId="77777777" w:rsidR="00B83B39" w:rsidRDefault="00B83B39">
      <w:pPr>
        <w:pStyle w:val="BodyText"/>
        <w:rPr>
          <w:b/>
          <w:sz w:val="20"/>
        </w:rPr>
      </w:pPr>
    </w:p>
    <w:p w14:paraId="4C996414" w14:textId="77777777" w:rsidR="00B83B39" w:rsidRDefault="00B83B39">
      <w:pPr>
        <w:pStyle w:val="BodyText"/>
        <w:rPr>
          <w:b/>
          <w:sz w:val="20"/>
        </w:rPr>
      </w:pPr>
    </w:p>
    <w:p w14:paraId="33A13965" w14:textId="77777777" w:rsidR="00B83B39" w:rsidRDefault="00B83B39">
      <w:pPr>
        <w:pStyle w:val="BodyText"/>
        <w:spacing w:before="12"/>
        <w:rPr>
          <w:b/>
        </w:rPr>
      </w:pPr>
    </w:p>
    <w:tbl>
      <w:tblPr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5999"/>
      </w:tblGrid>
      <w:tr w:rsidR="00B83B39" w14:paraId="17F9F742" w14:textId="77777777">
        <w:trPr>
          <w:trHeight w:val="782"/>
        </w:trPr>
        <w:tc>
          <w:tcPr>
            <w:tcW w:w="2016" w:type="dxa"/>
            <w:shd w:val="clear" w:color="auto" w:fill="2D74B5"/>
          </w:tcPr>
          <w:p w14:paraId="4B23A145" w14:textId="77777777" w:rsidR="00B83B39" w:rsidRDefault="00C272FF">
            <w:pPr>
              <w:pStyle w:val="TableParagraph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Desenvolvido</w:t>
            </w:r>
          </w:p>
          <w:p w14:paraId="30EEBC25" w14:textId="77777777" w:rsidR="00B83B39" w:rsidRDefault="00C272FF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por:</w:t>
            </w:r>
          </w:p>
        </w:tc>
        <w:tc>
          <w:tcPr>
            <w:tcW w:w="5999" w:type="dxa"/>
            <w:shd w:val="clear" w:color="auto" w:fill="D4DCE3"/>
          </w:tcPr>
          <w:p w14:paraId="51B49661" w14:textId="77777777" w:rsidR="00B83B39" w:rsidRDefault="00C272FF">
            <w:pPr>
              <w:pStyle w:val="TableParagraph"/>
              <w:ind w:left="108"/>
              <w:rPr>
                <w:sz w:val="32"/>
              </w:rPr>
            </w:pPr>
            <w:r>
              <w:rPr>
                <w:sz w:val="32"/>
              </w:rPr>
              <w:t>CITEVE</w:t>
            </w:r>
          </w:p>
        </w:tc>
      </w:tr>
    </w:tbl>
    <w:p w14:paraId="6B8F67A8" w14:textId="77777777" w:rsidR="00B83B39" w:rsidRDefault="00B83B39">
      <w:pPr>
        <w:rPr>
          <w:sz w:val="32"/>
        </w:rPr>
        <w:sectPr w:rsidR="00B83B3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660" w:right="880" w:bottom="1340" w:left="960" w:header="692" w:footer="1142" w:gutter="0"/>
          <w:cols w:space="720"/>
        </w:sectPr>
      </w:pPr>
    </w:p>
    <w:p w14:paraId="77887936" w14:textId="77777777" w:rsidR="00B83B39" w:rsidRDefault="00B83B39">
      <w:pPr>
        <w:pStyle w:val="BodyText"/>
        <w:rPr>
          <w:b/>
          <w:sz w:val="20"/>
        </w:rPr>
      </w:pPr>
    </w:p>
    <w:p w14:paraId="499EFD16" w14:textId="77777777" w:rsidR="00B83B39" w:rsidRDefault="00B83B39">
      <w:pPr>
        <w:pStyle w:val="BodyText"/>
        <w:rPr>
          <w:b/>
          <w:sz w:val="20"/>
        </w:rPr>
      </w:pPr>
    </w:p>
    <w:p w14:paraId="73600131" w14:textId="77777777" w:rsidR="00B83B39" w:rsidRDefault="00C272FF">
      <w:pPr>
        <w:spacing w:before="156"/>
        <w:ind w:left="120"/>
        <w:rPr>
          <w:b/>
          <w:sz w:val="32"/>
        </w:rPr>
      </w:pPr>
      <w:r>
        <w:rPr>
          <w:b/>
          <w:sz w:val="32"/>
        </w:rPr>
        <w:t>Enquadramento</w:t>
      </w:r>
    </w:p>
    <w:p w14:paraId="451AAA97" w14:textId="77777777" w:rsidR="00B83B39" w:rsidRDefault="00C272FF">
      <w:pPr>
        <w:spacing w:before="192" w:line="360" w:lineRule="auto"/>
        <w:ind w:left="120" w:right="195"/>
        <w:jc w:val="both"/>
        <w:rPr>
          <w:i/>
        </w:rPr>
      </w:pPr>
      <w:r>
        <w:t>O Acordo de Parceria entre Portugal e a Comissão Europeia, denominado Portugal 2020, adota os princípios de programação da Estratégia Europa 2020 e consagra a política de desenvolvimento económico, social, ambiental e territorial que estimula</w:t>
      </w:r>
      <w:r>
        <w:t xml:space="preserve">rá o crescimento e a criação de emprego nos próximos anos em Portugal. </w:t>
      </w:r>
      <w:r>
        <w:rPr>
          <w:i/>
        </w:rPr>
        <w:t>Portugal 2020 define as intervenções, os investimentos e as prioridades de financiamento necessárias para promover no nosso país o crescimento inteligente, sustentável e inclusivo e o c</w:t>
      </w:r>
      <w:r>
        <w:rPr>
          <w:i/>
        </w:rPr>
        <w:t>umprimento das metas da Europa 2020 (</w:t>
      </w:r>
      <w:hyperlink r:id="rId12">
        <w:r>
          <w:rPr>
            <w:i/>
            <w:color w:val="0000FF"/>
            <w:u w:val="single" w:color="0000FF"/>
          </w:rPr>
          <w:t>https://www.portugal2020.pt</w:t>
        </w:r>
      </w:hyperlink>
      <w:r>
        <w:rPr>
          <w:i/>
        </w:rPr>
        <w:t>).</w:t>
      </w:r>
    </w:p>
    <w:p w14:paraId="2B0F2B03" w14:textId="77777777" w:rsidR="00B83B39" w:rsidRDefault="00C272FF">
      <w:pPr>
        <w:pStyle w:val="BodyText"/>
        <w:ind w:left="120"/>
      </w:pPr>
      <w:r>
        <w:t>O Acordo de Parceria entre 2014-2020, reúne a atuação dos 5 Fundos Europeus Estruturais e de Investimento</w:t>
      </w:r>
    </w:p>
    <w:p w14:paraId="7FF1E8DA" w14:textId="77777777" w:rsidR="00B83B39" w:rsidRDefault="00C272FF">
      <w:pPr>
        <w:pStyle w:val="BodyText"/>
        <w:spacing w:before="135" w:line="360" w:lineRule="auto"/>
        <w:ind w:left="120" w:right="197"/>
        <w:jc w:val="both"/>
      </w:pPr>
      <w:r>
        <w:t>- FEDER, Fundo de Coesão, FSE, FEAD</w:t>
      </w:r>
      <w:r>
        <w:t>ER e FEAMP - no qual se definem os princípios de programação que consagram a política de desenvolvimento económico, social e territorial.</w:t>
      </w:r>
    </w:p>
    <w:p w14:paraId="7E7F006F" w14:textId="77777777" w:rsidR="00B83B39" w:rsidRDefault="00C272FF">
      <w:pPr>
        <w:pStyle w:val="BodyText"/>
        <w:spacing w:before="1" w:line="360" w:lineRule="auto"/>
        <w:ind w:left="840" w:right="1273" w:hanging="721"/>
      </w:pPr>
      <w:r>
        <w:rPr>
          <w:noProof/>
        </w:rPr>
        <w:drawing>
          <wp:anchor distT="0" distB="0" distL="0" distR="0" simplePos="0" relativeHeight="251656192" behindDoc="1" locked="0" layoutInCell="1" allowOverlap="1" wp14:anchorId="1DA9C8CB" wp14:editId="1588E6EB">
            <wp:simplePos x="0" y="0"/>
            <wp:positionH relativeFrom="page">
              <wp:posOffset>943704</wp:posOffset>
            </wp:positionH>
            <wp:positionV relativeFrom="paragraph">
              <wp:posOffset>291680</wp:posOffset>
            </wp:positionV>
            <wp:extent cx="79539" cy="8043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39" cy="8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 programação e implementação do Portugal 2020 organizam-se em quatro domínios temáticos: Competitividade e Internaci</w:t>
      </w:r>
      <w:r>
        <w:t>onalização;</w:t>
      </w:r>
    </w:p>
    <w:p w14:paraId="69408B4C" w14:textId="77777777" w:rsidR="00B83B39" w:rsidRDefault="00C272FF">
      <w:pPr>
        <w:pStyle w:val="BodyText"/>
        <w:spacing w:line="360" w:lineRule="auto"/>
        <w:ind w:left="840" w:right="6833"/>
      </w:pPr>
      <w:r>
        <w:rPr>
          <w:noProof/>
        </w:rPr>
        <w:drawing>
          <wp:anchor distT="0" distB="0" distL="0" distR="0" simplePos="0" relativeHeight="251653120" behindDoc="0" locked="0" layoutInCell="1" allowOverlap="1" wp14:anchorId="400F90AD" wp14:editId="302E0561">
            <wp:simplePos x="0" y="0"/>
            <wp:positionH relativeFrom="page">
              <wp:posOffset>943704</wp:posOffset>
            </wp:positionH>
            <wp:positionV relativeFrom="paragraph">
              <wp:posOffset>35140</wp:posOffset>
            </wp:positionV>
            <wp:extent cx="79539" cy="8043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39" cy="8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4144" behindDoc="0" locked="0" layoutInCell="1" allowOverlap="1" wp14:anchorId="70912D7B" wp14:editId="0C8AC052">
            <wp:simplePos x="0" y="0"/>
            <wp:positionH relativeFrom="page">
              <wp:posOffset>943704</wp:posOffset>
            </wp:positionH>
            <wp:positionV relativeFrom="paragraph">
              <wp:posOffset>291045</wp:posOffset>
            </wp:positionV>
            <wp:extent cx="79539" cy="80433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39" cy="8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Inclusão Social e Emprego; Capital Humano;</w:t>
      </w:r>
    </w:p>
    <w:p w14:paraId="6C2CCEE1" w14:textId="77777777" w:rsidR="00B83B39" w:rsidRDefault="00C272FF">
      <w:pPr>
        <w:pStyle w:val="BodyText"/>
        <w:ind w:left="840"/>
      </w:pPr>
      <w:r>
        <w:rPr>
          <w:noProof/>
        </w:rPr>
        <w:drawing>
          <wp:anchor distT="0" distB="0" distL="0" distR="0" simplePos="0" relativeHeight="251655168" behindDoc="0" locked="0" layoutInCell="1" allowOverlap="1" wp14:anchorId="4200CE59" wp14:editId="33F90DE4">
            <wp:simplePos x="0" y="0"/>
            <wp:positionH relativeFrom="page">
              <wp:posOffset>943704</wp:posOffset>
            </wp:positionH>
            <wp:positionV relativeFrom="paragraph">
              <wp:posOffset>34886</wp:posOffset>
            </wp:positionV>
            <wp:extent cx="79539" cy="80433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39" cy="80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Sustentabilidade e Eficiência no Uso de Recursos.</w:t>
      </w:r>
    </w:p>
    <w:p w14:paraId="0E0979A3" w14:textId="77777777" w:rsidR="00B83B39" w:rsidRDefault="00C272FF">
      <w:pPr>
        <w:pStyle w:val="BodyText"/>
        <w:spacing w:before="134" w:line="360" w:lineRule="auto"/>
        <w:ind w:left="120" w:right="202"/>
        <w:jc w:val="both"/>
      </w:pPr>
      <w:r>
        <w:t>O Portugal 2020 é operacionalizado através de 16 Programas Operacionais a que acrescem os Programas de Cooperação Territorial nos quais Portugal participará a par com outros Estados membros.</w:t>
      </w:r>
    </w:p>
    <w:p w14:paraId="1C8C2B46" w14:textId="77777777" w:rsidR="00B83B39" w:rsidRDefault="00C272FF">
      <w:pPr>
        <w:pStyle w:val="BodyText"/>
        <w:spacing w:before="1" w:line="360" w:lineRule="auto"/>
        <w:ind w:left="120" w:right="194"/>
        <w:jc w:val="both"/>
      </w:pPr>
      <w:r>
        <w:t>Nas páginas seguintes apenas iremos apresentar os Programas Opera</w:t>
      </w:r>
      <w:r>
        <w:t>cionais que integram prioridades de intervenção no âmbito da educação, formação e empregabilidade.</w:t>
      </w:r>
    </w:p>
    <w:p w14:paraId="4864D3BA" w14:textId="77777777" w:rsidR="00B83B39" w:rsidRDefault="00B83B39">
      <w:pPr>
        <w:spacing w:line="360" w:lineRule="auto"/>
        <w:jc w:val="both"/>
        <w:sectPr w:rsidR="00B83B39">
          <w:pgSz w:w="11910" w:h="16840"/>
          <w:pgMar w:top="1660" w:right="880" w:bottom="1420" w:left="960" w:header="692" w:footer="1142" w:gutter="0"/>
          <w:cols w:space="720"/>
        </w:sectPr>
      </w:pPr>
    </w:p>
    <w:p w14:paraId="5F1B625B" w14:textId="77777777" w:rsidR="00B83B39" w:rsidRDefault="00C272FF">
      <w:pPr>
        <w:pStyle w:val="BodyText"/>
        <w:rPr>
          <w:rFonts w:ascii="Times New Roman"/>
          <w:sz w:val="20"/>
        </w:rPr>
      </w:pPr>
      <w:r>
        <w:lastRenderedPageBreak/>
        <w:pict w14:anchorId="7496AA55">
          <v:group id="_x0000_s1044" style="position:absolute;margin-left:53.3pt;margin-top:116.05pt;width:487.7pt;height:625.4pt;z-index:-251658240;mso-position-horizontal-relative:page;mso-position-vertical-relative:page" coordorigin="1066,2321" coordsize="9754,1250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6466;top:6396;width:139;height:141">
              <v:imagedata r:id="rId14" o:title=""/>
            </v:shape>
            <v:shape id="_x0000_s1047" type="#_x0000_t75" style="position:absolute;left:6466;top:7606;width:139;height:141">
              <v:imagedata r:id="rId14" o:title=""/>
            </v:shape>
            <v:shape id="_x0000_s1046" type="#_x0000_t75" style="position:absolute;left:6466;top:9619;width:139;height:141">
              <v:imagedata r:id="rId14" o:title=""/>
            </v:shape>
            <v:shape id="_x0000_s1045" type="#_x0000_t75" style="position:absolute;left:1065;top:2321;width:9754;height:12508">
              <v:imagedata r:id="rId15" o:title=""/>
            </v:shape>
            <w10:wrap anchorx="page" anchory="page"/>
          </v:group>
        </w:pict>
      </w:r>
    </w:p>
    <w:p w14:paraId="38992A74" w14:textId="77777777" w:rsidR="00B83B39" w:rsidRDefault="00B83B39">
      <w:pPr>
        <w:pStyle w:val="BodyText"/>
        <w:rPr>
          <w:rFonts w:ascii="Times New Roman"/>
          <w:sz w:val="20"/>
        </w:rPr>
      </w:pPr>
    </w:p>
    <w:p w14:paraId="66FE8578" w14:textId="77777777" w:rsidR="00B83B39" w:rsidRDefault="00B83B39">
      <w:pPr>
        <w:pStyle w:val="BodyText"/>
        <w:spacing w:before="10"/>
        <w:rPr>
          <w:rFonts w:ascii="Times New Roman"/>
          <w:sz w:val="20"/>
        </w:rPr>
      </w:pPr>
    </w:p>
    <w:tbl>
      <w:tblPr>
        <w:tblW w:w="0" w:type="auto"/>
        <w:tblInd w:w="7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6"/>
        <w:gridCol w:w="5317"/>
      </w:tblGrid>
      <w:tr w:rsidR="00B83B39" w14:paraId="4812329B" w14:textId="77777777">
        <w:trPr>
          <w:trHeight w:val="7875"/>
        </w:trPr>
        <w:tc>
          <w:tcPr>
            <w:tcW w:w="3856" w:type="dxa"/>
          </w:tcPr>
          <w:p w14:paraId="4D534AE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F6E230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F421DC8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767D4683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F070D0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C8B555B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5856440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07D5ED9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4AC602E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3F2AB24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F9C4EA2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A816C6D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122967B2" w14:textId="77777777" w:rsidR="00B83B39" w:rsidRDefault="00B83B39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97BBFD3" w14:textId="77777777" w:rsidR="00B83B39" w:rsidRDefault="00C272FF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3117C28" wp14:editId="60D4FF58">
                  <wp:extent cx="2043853" cy="777239"/>
                  <wp:effectExtent l="0" t="0" r="0" b="0"/>
                  <wp:docPr id="13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853" cy="777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7" w:type="dxa"/>
          </w:tcPr>
          <w:p w14:paraId="7B7AE946" w14:textId="77777777" w:rsidR="00B83B39" w:rsidRDefault="00C272FF">
            <w:pPr>
              <w:pStyle w:val="TableParagraph"/>
              <w:spacing w:line="225" w:lineRule="exact"/>
              <w:ind w:left="460"/>
            </w:pPr>
            <w:r>
              <w:t>Aumentar significativamente a competitividade</w:t>
            </w:r>
          </w:p>
          <w:p w14:paraId="35542AA6" w14:textId="77777777" w:rsidR="00B83B39" w:rsidRDefault="00C272FF">
            <w:pPr>
              <w:pStyle w:val="TableParagraph"/>
              <w:spacing w:before="134" w:line="360" w:lineRule="auto"/>
              <w:ind w:left="460"/>
            </w:pPr>
            <w:r>
              <w:t>nacional, mobilizando e potenciando recursos e competências, visando a criação de emprego e a retoma da dinâmica de convergência com as economias mais desenvolvidas da União Europeia. Integra 5 eixos de atuação, dos quais 3 integram programas de desenvolvi</w:t>
            </w:r>
            <w:r>
              <w:t>mento formativo e de qualificação, a saber:</w:t>
            </w:r>
          </w:p>
          <w:p w14:paraId="78F504D5" w14:textId="77777777" w:rsidR="00B83B39" w:rsidRDefault="00C272FF">
            <w:pPr>
              <w:pStyle w:val="TableParagraph"/>
              <w:spacing w:before="1" w:line="360" w:lineRule="auto"/>
              <w:ind w:left="460"/>
            </w:pPr>
            <w:r>
              <w:t>EIXO II Reforço da Competitividade das PME e Redução de Custos Públicos de Contexto</w:t>
            </w:r>
          </w:p>
          <w:p w14:paraId="6AC75A1C" w14:textId="77777777" w:rsidR="00B83B39" w:rsidRDefault="00C272FF">
            <w:pPr>
              <w:pStyle w:val="TableParagraph"/>
              <w:spacing w:line="360" w:lineRule="auto"/>
              <w:ind w:left="460" w:right="206" w:firstLine="720"/>
            </w:pPr>
            <w:r>
              <w:t>Qualificação e Internacionalização PME EIXO III Promoção da Sustentabilidade e da Qualidade do</w:t>
            </w:r>
            <w:r>
              <w:rPr>
                <w:spacing w:val="-1"/>
              </w:rPr>
              <w:t xml:space="preserve"> </w:t>
            </w:r>
            <w:r>
              <w:t>Emprego</w:t>
            </w:r>
          </w:p>
          <w:p w14:paraId="7CD8D263" w14:textId="77777777" w:rsidR="00B83B39" w:rsidRDefault="00C272FF">
            <w:pPr>
              <w:pStyle w:val="TableParagraph"/>
              <w:spacing w:line="360" w:lineRule="auto"/>
              <w:ind w:left="1180"/>
            </w:pPr>
            <w:r>
              <w:t>Formação e Capacitação de</w:t>
            </w:r>
            <w:r>
              <w:t xml:space="preserve"> Empresários, Gestores e Trabalhadores das Empresas</w:t>
            </w:r>
          </w:p>
          <w:p w14:paraId="250C27A9" w14:textId="77777777" w:rsidR="00B83B39" w:rsidRDefault="00C272FF">
            <w:pPr>
              <w:pStyle w:val="TableParagraph"/>
              <w:spacing w:line="360" w:lineRule="auto"/>
              <w:ind w:left="460" w:right="201"/>
              <w:jc w:val="both"/>
            </w:pPr>
            <w:r>
              <w:t>EIXO V Reforço da Capacidade Institucional das Autoridades Públicas e das Partes Interessadas e da Eficiência da Administração Pública</w:t>
            </w:r>
          </w:p>
          <w:p w14:paraId="5E5A566F" w14:textId="77777777" w:rsidR="00B83B39" w:rsidRDefault="00C272FF">
            <w:pPr>
              <w:pStyle w:val="TableParagraph"/>
              <w:spacing w:line="268" w:lineRule="exact"/>
              <w:ind w:left="1180"/>
            </w:pPr>
            <w:r>
              <w:t>Formação dos Trabalhadores em Funções</w:t>
            </w:r>
          </w:p>
          <w:p w14:paraId="4AB2CA92" w14:textId="77777777" w:rsidR="00B83B39" w:rsidRDefault="00C272FF">
            <w:pPr>
              <w:pStyle w:val="TableParagraph"/>
              <w:spacing w:before="135" w:line="245" w:lineRule="exact"/>
              <w:ind w:left="1180"/>
            </w:pPr>
            <w:r>
              <w:t>Públicas</w:t>
            </w:r>
          </w:p>
        </w:tc>
      </w:tr>
    </w:tbl>
    <w:p w14:paraId="7D2C4FE7" w14:textId="77777777" w:rsidR="00B83B39" w:rsidRDefault="00B83B39">
      <w:pPr>
        <w:spacing w:line="245" w:lineRule="exact"/>
        <w:sectPr w:rsidR="00B83B39">
          <w:pgSz w:w="11910" w:h="16840"/>
          <w:pgMar w:top="1660" w:right="880" w:bottom="1340" w:left="960" w:header="692" w:footer="1142" w:gutter="0"/>
          <w:cols w:space="720"/>
        </w:sectPr>
      </w:pPr>
    </w:p>
    <w:p w14:paraId="28024AD4" w14:textId="77777777" w:rsidR="00B83B39" w:rsidRDefault="00C272FF">
      <w:pPr>
        <w:pStyle w:val="BodyText"/>
        <w:rPr>
          <w:rFonts w:ascii="Times New Roman"/>
          <w:sz w:val="20"/>
        </w:rPr>
      </w:pPr>
      <w:r>
        <w:lastRenderedPageBreak/>
        <w:pict w14:anchorId="6654B3A0">
          <v:group id="_x0000_s1041" style="position:absolute;margin-left:53.3pt;margin-top:116.05pt;width:487.7pt;height:645.6pt;z-index:-251657216;mso-position-horizontal-relative:page;mso-position-vertical-relative:page" coordorigin="1066,2321" coordsize="9754,12912">
            <v:shape id="_x0000_s1043" type="#_x0000_t75" style="position:absolute;left:6459;top:12861;width:127;height:123">
              <v:imagedata r:id="rId17" o:title=""/>
            </v:shape>
            <v:shape id="_x0000_s1042" type="#_x0000_t75" style="position:absolute;left:1065;top:2321;width:9754;height:12912">
              <v:imagedata r:id="rId18" o:title=""/>
            </v:shape>
            <w10:wrap anchorx="page" anchory="page"/>
          </v:group>
        </w:pict>
      </w:r>
    </w:p>
    <w:p w14:paraId="7AFD6EDE" w14:textId="77777777" w:rsidR="00B83B39" w:rsidRDefault="00B83B39">
      <w:pPr>
        <w:pStyle w:val="BodyText"/>
        <w:rPr>
          <w:rFonts w:ascii="Times New Roman"/>
          <w:sz w:val="20"/>
        </w:rPr>
      </w:pPr>
    </w:p>
    <w:p w14:paraId="67934244" w14:textId="77777777" w:rsidR="00B83B39" w:rsidRDefault="00B83B39">
      <w:pPr>
        <w:pStyle w:val="BodyText"/>
        <w:spacing w:before="10"/>
        <w:rPr>
          <w:rFonts w:ascii="Times New Roman"/>
          <w:sz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3"/>
        <w:gridCol w:w="5509"/>
      </w:tblGrid>
      <w:tr w:rsidR="00B83B39" w14:paraId="2364CE05" w14:textId="77777777">
        <w:trPr>
          <w:trHeight w:val="12709"/>
        </w:trPr>
        <w:tc>
          <w:tcPr>
            <w:tcW w:w="3873" w:type="dxa"/>
          </w:tcPr>
          <w:p w14:paraId="17622237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2AC766F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EC589B7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B40FA9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6DB174D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5E19BCA3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1C66A6FD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2920EF5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F8B5FC8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50E660CF" w14:textId="77777777" w:rsidR="00B83B39" w:rsidRDefault="00B83B39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14:paraId="311CC76E" w14:textId="77777777" w:rsidR="00B83B39" w:rsidRDefault="00C272FF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A7BE71A" wp14:editId="5E5DB273">
                  <wp:extent cx="1926416" cy="1347215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416" cy="134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9" w:type="dxa"/>
          </w:tcPr>
          <w:p w14:paraId="381BA5D2" w14:textId="77777777" w:rsidR="00B83B39" w:rsidRDefault="00C272FF">
            <w:pPr>
              <w:pStyle w:val="TableParagraph"/>
              <w:spacing w:line="225" w:lineRule="exact"/>
              <w:ind w:left="653"/>
            </w:pPr>
            <w:r>
              <w:t>Melhoria do ajustamento do mercado de trabalho,</w:t>
            </w:r>
          </w:p>
          <w:p w14:paraId="17B5417C" w14:textId="77777777" w:rsidR="00B83B39" w:rsidRDefault="00C272FF">
            <w:pPr>
              <w:pStyle w:val="TableParagraph"/>
              <w:spacing w:before="134" w:line="360" w:lineRule="auto"/>
              <w:ind w:left="653" w:right="198"/>
              <w:jc w:val="both"/>
            </w:pPr>
            <w:r>
              <w:t>promovendo uma melhor transição para o emprego 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criação</w:t>
            </w:r>
            <w:r>
              <w:rPr>
                <w:spacing w:val="-10"/>
              </w:rPr>
              <w:t xml:space="preserve"> </w:t>
            </w:r>
            <w:r>
              <w:t>líquida</w:t>
            </w:r>
            <w:r>
              <w:rPr>
                <w:spacing w:val="-11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emprego</w:t>
            </w:r>
            <w:r>
              <w:rPr>
                <w:spacing w:val="-11"/>
              </w:rPr>
              <w:t xml:space="preserve"> </w:t>
            </w:r>
            <w:r>
              <w:t>para</w:t>
            </w:r>
            <w:r>
              <w:rPr>
                <w:spacing w:val="-13"/>
              </w:rPr>
              <w:t xml:space="preserve"> </w:t>
            </w:r>
            <w:r>
              <w:t>desempregados, em particular os segmentos com mais dificuldades de reinserção (como os desempregados de longa e muito longa duração).</w:t>
            </w:r>
          </w:p>
          <w:p w14:paraId="1F9DDD82" w14:textId="77777777" w:rsidR="00B83B39" w:rsidRDefault="00C272FF">
            <w:pPr>
              <w:pStyle w:val="TableParagraph"/>
              <w:spacing w:line="360" w:lineRule="auto"/>
              <w:ind w:left="653" w:right="198"/>
              <w:jc w:val="both"/>
            </w:pPr>
            <w:r>
              <w:t>Promoção do investimento na aprendizagem ao longo da vida de forma a dotar os adultos e as pessoas em situação de vulnerab</w:t>
            </w:r>
            <w:r>
              <w:t>ilidade (em particular os desempregados) de novas competências</w:t>
            </w:r>
            <w:r>
              <w:rPr>
                <w:spacing w:val="-15"/>
              </w:rPr>
              <w:t xml:space="preserve"> </w:t>
            </w:r>
            <w:r>
              <w:t>mais</w:t>
            </w:r>
            <w:r>
              <w:rPr>
                <w:spacing w:val="-15"/>
              </w:rPr>
              <w:t xml:space="preserve"> </w:t>
            </w:r>
            <w:r>
              <w:t>apropriadas</w:t>
            </w:r>
            <w:r>
              <w:rPr>
                <w:spacing w:val="-13"/>
              </w:rPr>
              <w:t xml:space="preserve"> </w:t>
            </w:r>
            <w:r>
              <w:t>ao</w:t>
            </w:r>
            <w:r>
              <w:rPr>
                <w:spacing w:val="-15"/>
              </w:rPr>
              <w:t xml:space="preserve"> </w:t>
            </w:r>
            <w:r>
              <w:t>padrão</w:t>
            </w:r>
            <w:r>
              <w:rPr>
                <w:spacing w:val="-13"/>
              </w:rPr>
              <w:t xml:space="preserve"> </w:t>
            </w:r>
            <w:r>
              <w:t xml:space="preserve">produtivo em que muitas empresas se especializam, possibilitando igualmente a mobilidade profissional e setorial, designadamente através da aposta na reconversão dos </w:t>
            </w:r>
            <w:r>
              <w:t>desempregados e das pessoas em risco de desemprego.</w:t>
            </w:r>
          </w:p>
          <w:p w14:paraId="06478531" w14:textId="77777777" w:rsidR="00B83B39" w:rsidRDefault="00C272FF">
            <w:pPr>
              <w:pStyle w:val="TableParagraph"/>
              <w:spacing w:before="2" w:line="360" w:lineRule="auto"/>
              <w:ind w:left="653" w:right="197"/>
              <w:jc w:val="both"/>
            </w:pPr>
            <w:r>
              <w:t>Reforço da eficácia, pertinência, adequação e operacionalização das políticas ativas de emprego, nomeadamente as de proximidade com as autarquias e outras instituições locais, e incentivo a uma maior proa</w:t>
            </w:r>
            <w:r>
              <w:t>tividade do Serviço Público de Emprego nesta área.</w:t>
            </w:r>
          </w:p>
          <w:p w14:paraId="00CD6ECA" w14:textId="77777777" w:rsidR="00B83B39" w:rsidRDefault="00C272FF">
            <w:pPr>
              <w:pStyle w:val="TableParagraph"/>
              <w:spacing w:line="357" w:lineRule="auto"/>
              <w:ind w:left="653" w:right="201"/>
              <w:jc w:val="both"/>
            </w:pPr>
            <w:r>
              <w:t>Dos 4 Eixos estruturantes iremos apresentar os 3 primeiros eixos:</w:t>
            </w:r>
          </w:p>
          <w:p w14:paraId="641FE185" w14:textId="77777777" w:rsidR="00B83B39" w:rsidRDefault="00C272FF">
            <w:pPr>
              <w:pStyle w:val="TableParagraph"/>
              <w:spacing w:before="4" w:line="360" w:lineRule="auto"/>
              <w:ind w:left="653" w:right="200"/>
              <w:jc w:val="both"/>
            </w:pPr>
            <w:r>
              <w:t>EIXO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Promover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Sustentabilidade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Qualidade</w:t>
            </w:r>
            <w:r>
              <w:rPr>
                <w:spacing w:val="-11"/>
              </w:rPr>
              <w:t xml:space="preserve"> </w:t>
            </w:r>
            <w:r>
              <w:t>do Emprego:</w:t>
            </w:r>
          </w:p>
          <w:p w14:paraId="361B969E" w14:textId="77777777" w:rsidR="00B83B39" w:rsidRDefault="00C272FF">
            <w:pPr>
              <w:pStyle w:val="TableParagraph"/>
              <w:spacing w:line="360" w:lineRule="auto"/>
              <w:ind w:left="1373" w:right="197"/>
              <w:jc w:val="both"/>
            </w:pPr>
            <w:r>
              <w:t>procura promover a sustentabilidade e a qualidade do emprego e apoiar a mobilidade dos trabalhadores, através das Prioridades de Investimento: Acesso ao Emprego; Integração profissional;</w:t>
            </w:r>
            <w:r>
              <w:rPr>
                <w:spacing w:val="-18"/>
              </w:rPr>
              <w:t xml:space="preserve"> </w:t>
            </w:r>
            <w:r>
              <w:t>Igualdade</w:t>
            </w:r>
          </w:p>
          <w:p w14:paraId="5B6DEE88" w14:textId="77777777" w:rsidR="00B83B39" w:rsidRDefault="00C272FF">
            <w:pPr>
              <w:pStyle w:val="TableParagraph"/>
              <w:spacing w:line="245" w:lineRule="exact"/>
              <w:ind w:left="1373"/>
              <w:jc w:val="both"/>
            </w:pPr>
            <w:r>
              <w:t xml:space="preserve">de         género;         Adaptabilidade       </w:t>
            </w:r>
            <w:r>
              <w:rPr>
                <w:spacing w:val="46"/>
              </w:rPr>
              <w:t xml:space="preserve"> </w:t>
            </w:r>
            <w:r>
              <w:t>dos</w:t>
            </w:r>
          </w:p>
        </w:tc>
      </w:tr>
    </w:tbl>
    <w:p w14:paraId="6D405DE5" w14:textId="77777777" w:rsidR="00B83B39" w:rsidRDefault="00B83B39">
      <w:pPr>
        <w:spacing w:line="245" w:lineRule="exact"/>
        <w:jc w:val="both"/>
        <w:sectPr w:rsidR="00B83B39">
          <w:pgSz w:w="11910" w:h="16840"/>
          <w:pgMar w:top="1660" w:right="880" w:bottom="1340" w:left="960" w:header="692" w:footer="1142" w:gutter="0"/>
          <w:cols w:space="720"/>
        </w:sectPr>
      </w:pPr>
    </w:p>
    <w:p w14:paraId="595F105A" w14:textId="77777777" w:rsidR="00B83B39" w:rsidRDefault="00C272FF">
      <w:pPr>
        <w:pStyle w:val="BodyText"/>
        <w:rPr>
          <w:rFonts w:ascii="Times New Roman"/>
          <w:sz w:val="20"/>
        </w:rPr>
      </w:pPr>
      <w:r>
        <w:lastRenderedPageBreak/>
        <w:pict w14:anchorId="4B93D618">
          <v:group id="_x0000_s1037" style="position:absolute;margin-left:53.3pt;margin-top:116.05pt;width:487.7pt;height:645.6pt;z-index:-251656192;mso-position-horizontal-relative:page;mso-position-vertical-relative:page" coordorigin="1066,2321" coordsize="9754,12912">
            <v:shape id="_x0000_s1040" type="#_x0000_t75" style="position:absolute;left:6459;top:3998;width:127;height:123">
              <v:imagedata r:id="rId17" o:title=""/>
            </v:shape>
            <v:shape id="_x0000_s1039" type="#_x0000_t75" style="position:absolute;left:6459;top:6414;width:127;height:123">
              <v:imagedata r:id="rId17" o:title=""/>
            </v:shape>
            <v:shape id="_x0000_s1038" type="#_x0000_t75" style="position:absolute;left:1065;top:2321;width:9754;height:12912">
              <v:imagedata r:id="rId18" o:title=""/>
            </v:shape>
            <w10:wrap anchorx="page" anchory="page"/>
          </v:group>
        </w:pict>
      </w:r>
    </w:p>
    <w:p w14:paraId="2F0337C5" w14:textId="77777777" w:rsidR="00B83B39" w:rsidRDefault="00B83B39">
      <w:pPr>
        <w:pStyle w:val="BodyText"/>
        <w:rPr>
          <w:rFonts w:ascii="Times New Roman"/>
          <w:sz w:val="20"/>
        </w:rPr>
      </w:pPr>
    </w:p>
    <w:p w14:paraId="297F49B3" w14:textId="77777777" w:rsidR="00B83B39" w:rsidRDefault="00C272FF">
      <w:pPr>
        <w:pStyle w:val="BodyText"/>
        <w:spacing w:before="196" w:line="360" w:lineRule="auto"/>
        <w:ind w:left="5816" w:right="314"/>
        <w:jc w:val="both"/>
      </w:pPr>
      <w:r>
        <w:t>trabalhadores – as tipologias de operações integram-se no âmbito da formação; Modernização do mercado de trabalho.</w:t>
      </w:r>
    </w:p>
    <w:p w14:paraId="133B164C" w14:textId="77777777" w:rsidR="00B83B39" w:rsidRDefault="00C272FF">
      <w:pPr>
        <w:pStyle w:val="BodyText"/>
        <w:spacing w:before="1"/>
        <w:ind w:left="5096"/>
      </w:pPr>
      <w:r>
        <w:t>EIXO II Iniciativa Emprego Jovem:</w:t>
      </w:r>
    </w:p>
    <w:p w14:paraId="5CD312E9" w14:textId="77777777" w:rsidR="00B83B39" w:rsidRDefault="00C272FF">
      <w:pPr>
        <w:pStyle w:val="BodyText"/>
        <w:spacing w:before="132" w:line="360" w:lineRule="auto"/>
        <w:ind w:left="5816" w:right="313"/>
        <w:jc w:val="both"/>
      </w:pPr>
      <w:r>
        <w:rPr>
          <w:color w:val="333333"/>
        </w:rPr>
        <w:t xml:space="preserve">visa o aumento da qualificação e integração no mercado de trabalho dos jovens NEET, através da Prioridade de Investimento: </w:t>
      </w:r>
      <w:r>
        <w:t>Integração profissional.</w:t>
      </w:r>
    </w:p>
    <w:p w14:paraId="2889626B" w14:textId="77777777" w:rsidR="00B83B39" w:rsidRDefault="00C272FF">
      <w:pPr>
        <w:pStyle w:val="BodyText"/>
        <w:spacing w:before="2" w:line="360" w:lineRule="auto"/>
        <w:ind w:left="5096"/>
      </w:pPr>
      <w:r>
        <w:t>EIXO III Promover a Inclusão Social e Combater a Pobreza e a Discriminação</w:t>
      </w:r>
    </w:p>
    <w:p w14:paraId="39915A52" w14:textId="77777777" w:rsidR="00B83B39" w:rsidRDefault="00C272FF">
      <w:pPr>
        <w:pStyle w:val="BodyText"/>
        <w:spacing w:line="360" w:lineRule="auto"/>
        <w:ind w:left="5816" w:right="312"/>
        <w:jc w:val="both"/>
      </w:pPr>
      <w:r>
        <w:t>Procura promover a inclusão social e combater a pobreza e a discriminação através das Prioridades de Investimento: Inclusão ativa; Igualdade de oportunidades; Acesso a serviços sustentáveis; Empreendedorismo social.</w:t>
      </w:r>
    </w:p>
    <w:p w14:paraId="1842BF27" w14:textId="77777777" w:rsidR="00B83B39" w:rsidRDefault="00B83B39">
      <w:pPr>
        <w:spacing w:line="360" w:lineRule="auto"/>
        <w:jc w:val="both"/>
        <w:sectPr w:rsidR="00B83B39">
          <w:pgSz w:w="11910" w:h="16840"/>
          <w:pgMar w:top="1660" w:right="880" w:bottom="1340" w:left="960" w:header="692" w:footer="1142" w:gutter="0"/>
          <w:cols w:space="720"/>
        </w:sectPr>
      </w:pPr>
    </w:p>
    <w:p w14:paraId="53ABF9F5" w14:textId="77777777" w:rsidR="00B83B39" w:rsidRDefault="00C272FF">
      <w:pPr>
        <w:pStyle w:val="BodyText"/>
        <w:rPr>
          <w:rFonts w:ascii="Times New Roman"/>
          <w:sz w:val="20"/>
        </w:rPr>
      </w:pPr>
      <w:r>
        <w:lastRenderedPageBreak/>
        <w:pict w14:anchorId="01893B47">
          <v:group id="_x0000_s1026" style="position:absolute;margin-left:53.3pt;margin-top:116.05pt;width:487.7pt;height:625.4pt;z-index:-251655168;mso-position-horizontal-relative:page;mso-position-vertical-relative:page" coordorigin="1066,2321" coordsize="9754,12508">
            <v:shape id="_x0000_s1036" type="#_x0000_t75" style="position:absolute;left:6459;top:8027;width:127;height:123">
              <v:imagedata r:id="rId17" o:title=""/>
            </v:shape>
            <v:shape id="_x0000_s1035" type="#_x0000_t75" style="position:absolute;left:6459;top:8834;width:127;height:123">
              <v:imagedata r:id="rId17" o:title=""/>
            </v:shape>
            <v:shape id="_x0000_s1034" type="#_x0000_t75" style="position:absolute;left:6459;top:9234;width:127;height:123">
              <v:imagedata r:id="rId17" o:title=""/>
            </v:shape>
            <v:shape id="_x0000_s1033" type="#_x0000_t75" style="position:absolute;left:6459;top:9638;width:127;height:123">
              <v:imagedata r:id="rId17" o:title=""/>
            </v:shape>
            <v:shape id="_x0000_s1032" type="#_x0000_t75" style="position:absolute;left:6459;top:10847;width:127;height:123">
              <v:imagedata r:id="rId17" o:title=""/>
            </v:shape>
            <v:shape id="_x0000_s1031" type="#_x0000_t75" style="position:absolute;left:6459;top:12458;width:127;height:123">
              <v:imagedata r:id="rId17" o:title=""/>
            </v:shape>
            <v:shape id="_x0000_s1030" type="#_x0000_t75" style="position:absolute;left:6459;top:12861;width:127;height:123">
              <v:imagedata r:id="rId17" o:title=""/>
            </v:shape>
            <v:shape id="_x0000_s1029" type="#_x0000_t75" style="position:absolute;left:6459;top:13264;width:127;height:123">
              <v:imagedata r:id="rId17" o:title=""/>
            </v:shape>
            <v:shape id="_x0000_s1028" type="#_x0000_t75" style="position:absolute;left:6459;top:13667;width:127;height:123">
              <v:imagedata r:id="rId17" o:title=""/>
            </v:shape>
            <v:shape id="_x0000_s1027" type="#_x0000_t75" style="position:absolute;left:1065;top:2321;width:9754;height:12508">
              <v:imagedata r:id="rId15" o:title=""/>
            </v:shape>
            <w10:wrap anchorx="page" anchory="page"/>
          </v:group>
        </w:pict>
      </w:r>
    </w:p>
    <w:p w14:paraId="07A10E17" w14:textId="77777777" w:rsidR="00B83B39" w:rsidRDefault="00B83B39">
      <w:pPr>
        <w:pStyle w:val="BodyText"/>
        <w:rPr>
          <w:rFonts w:ascii="Times New Roman"/>
          <w:sz w:val="20"/>
        </w:rPr>
      </w:pPr>
    </w:p>
    <w:p w14:paraId="48A632EA" w14:textId="77777777" w:rsidR="00B83B39" w:rsidRDefault="00B83B39">
      <w:pPr>
        <w:pStyle w:val="BodyText"/>
        <w:spacing w:before="10"/>
        <w:rPr>
          <w:rFonts w:ascii="Times New Roman"/>
          <w:sz w:val="20"/>
        </w:rPr>
      </w:pPr>
    </w:p>
    <w:tbl>
      <w:tblPr>
        <w:tblW w:w="0" w:type="auto"/>
        <w:tblInd w:w="6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8"/>
        <w:gridCol w:w="5420"/>
      </w:tblGrid>
      <w:tr w:rsidR="00B83B39" w14:paraId="60B7119E" w14:textId="77777777">
        <w:trPr>
          <w:trHeight w:val="11905"/>
        </w:trPr>
        <w:tc>
          <w:tcPr>
            <w:tcW w:w="3918" w:type="dxa"/>
          </w:tcPr>
          <w:p w14:paraId="2AFC1B71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24B58F20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44086A1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1A79BDAF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B6EAB54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FAF9DAA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F406F08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25F04B84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E8DD6FB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727D0E5B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29CBB9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11D52D28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A320BD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2CFCBBFA" w14:textId="77777777" w:rsidR="00B83B39" w:rsidRDefault="00B83B39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14:paraId="76C4383D" w14:textId="77777777" w:rsidR="00B83B39" w:rsidRDefault="00C272FF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8B3BD22" wp14:editId="726B6684">
                  <wp:extent cx="2016528" cy="1250823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528" cy="125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0" w:type="dxa"/>
          </w:tcPr>
          <w:p w14:paraId="60AE74DE" w14:textId="77777777" w:rsidR="00B83B39" w:rsidRDefault="00C272FF">
            <w:pPr>
              <w:pStyle w:val="TableParagraph"/>
              <w:spacing w:line="225" w:lineRule="exact"/>
              <w:ind w:left="563"/>
            </w:pPr>
            <w:r>
              <w:t>Promover o aumento da qualificação da população,</w:t>
            </w:r>
          </w:p>
          <w:p w14:paraId="1FC65A78" w14:textId="77777777" w:rsidR="00B83B39" w:rsidRDefault="00C272FF">
            <w:pPr>
              <w:pStyle w:val="TableParagraph"/>
              <w:spacing w:before="134" w:line="360" w:lineRule="auto"/>
              <w:ind w:left="563" w:right="199"/>
              <w:jc w:val="both"/>
            </w:pPr>
            <w:r>
              <w:t>ajustada às necessidades do mercado de trabalho e em convergência com os padrões europeus, garantindo a melhoria do nível de qualidade nas qualificações adquiridas, melhorando o sucesso escolar, reduzindo o abandono, promovendo a igualdade, a coesão social</w:t>
            </w:r>
            <w:r>
              <w:t xml:space="preserve"> e o desenvolvimento pessoal e da cidadania, a par do reforço da competitividade económica do país.</w:t>
            </w:r>
          </w:p>
          <w:p w14:paraId="17895DB3" w14:textId="77777777" w:rsidR="00B83B39" w:rsidRDefault="00C272FF">
            <w:pPr>
              <w:pStyle w:val="TableParagraph"/>
              <w:spacing w:before="1" w:line="357" w:lineRule="auto"/>
              <w:ind w:left="563" w:right="197"/>
              <w:jc w:val="both"/>
            </w:pPr>
            <w:r>
              <w:t>Dos 5 eixos estruturantes iremos debruçar-nos sobre 3:</w:t>
            </w:r>
          </w:p>
          <w:p w14:paraId="0BDC6709" w14:textId="77777777" w:rsidR="00B83B39" w:rsidRDefault="00C272FF">
            <w:pPr>
              <w:pStyle w:val="TableParagraph"/>
              <w:spacing w:before="4" w:line="360" w:lineRule="auto"/>
              <w:ind w:left="563" w:right="201"/>
              <w:jc w:val="both"/>
            </w:pPr>
            <w:r>
              <w:t>EIXO I Promoção do Sucesso Educativo, do Combate ao Abandono Escolar e Reforço da Qualificação dos Jo</w:t>
            </w:r>
            <w:r>
              <w:t>vens para a Empregabilidade</w:t>
            </w:r>
          </w:p>
          <w:p w14:paraId="216970EE" w14:textId="77777777" w:rsidR="00B83B39" w:rsidRDefault="00C272FF">
            <w:pPr>
              <w:pStyle w:val="TableParagraph"/>
              <w:spacing w:before="1" w:line="360" w:lineRule="auto"/>
              <w:ind w:left="1283"/>
            </w:pPr>
            <w:r>
              <w:t>Cursos vocacionais de nível básico e secundário</w:t>
            </w:r>
          </w:p>
          <w:p w14:paraId="651E17D3" w14:textId="77777777" w:rsidR="00B83B39" w:rsidRDefault="00C272FF">
            <w:pPr>
              <w:pStyle w:val="TableParagraph"/>
              <w:spacing w:before="1"/>
              <w:ind w:left="1283"/>
            </w:pPr>
            <w:r>
              <w:t>Outros cursos de nível básico</w:t>
            </w:r>
          </w:p>
          <w:p w14:paraId="4E84F0CA" w14:textId="77777777" w:rsidR="00B83B39" w:rsidRDefault="00C272FF">
            <w:pPr>
              <w:pStyle w:val="TableParagraph"/>
              <w:spacing w:before="132" w:line="360" w:lineRule="auto"/>
              <w:ind w:left="1283" w:right="564"/>
            </w:pPr>
            <w:r>
              <w:t>Cursos profissionais de nível secundário Apoios específicos de ação social escola</w:t>
            </w:r>
          </w:p>
          <w:p w14:paraId="5D1647E1" w14:textId="77777777" w:rsidR="00B83B39" w:rsidRDefault="00C272FF">
            <w:pPr>
              <w:pStyle w:val="TableParagraph"/>
              <w:spacing w:before="1" w:line="360" w:lineRule="auto"/>
              <w:ind w:left="563" w:right="205"/>
              <w:jc w:val="both"/>
            </w:pPr>
            <w:r>
              <w:t>EIXO II Reforço do Ensino Superior e da Formação Avançada</w:t>
            </w:r>
          </w:p>
          <w:p w14:paraId="3AD05C0E" w14:textId="77777777" w:rsidR="00B83B39" w:rsidRDefault="00C272FF">
            <w:pPr>
              <w:pStyle w:val="TableParagraph"/>
              <w:spacing w:before="1" w:line="360" w:lineRule="auto"/>
              <w:ind w:left="1283"/>
            </w:pPr>
            <w:r>
              <w:t>Cursos Técnicos Superiores Profissionais (TeSP)</w:t>
            </w:r>
          </w:p>
          <w:p w14:paraId="66684C57" w14:textId="77777777" w:rsidR="00B83B39" w:rsidRDefault="00C272FF">
            <w:pPr>
              <w:pStyle w:val="TableParagraph"/>
              <w:spacing w:line="360" w:lineRule="auto"/>
              <w:ind w:left="563" w:right="203"/>
              <w:jc w:val="both"/>
            </w:pPr>
            <w:r>
              <w:t>EIXO III Aprendizagem, Qualificação ao Longo da Vida e Reforço da Empregabilidade</w:t>
            </w:r>
          </w:p>
          <w:p w14:paraId="4A459BD8" w14:textId="77777777" w:rsidR="00B83B39" w:rsidRDefault="00C272FF">
            <w:pPr>
              <w:pStyle w:val="TableParagraph"/>
              <w:ind w:left="1283"/>
            </w:pPr>
            <w:r>
              <w:t>Centros Qualifica</w:t>
            </w:r>
          </w:p>
          <w:p w14:paraId="6B787912" w14:textId="77777777" w:rsidR="00B83B39" w:rsidRDefault="00C272FF">
            <w:pPr>
              <w:pStyle w:val="TableParagraph"/>
              <w:spacing w:before="134" w:line="360" w:lineRule="auto"/>
              <w:ind w:left="1283" w:right="1554"/>
            </w:pPr>
            <w:r>
              <w:t>Cursos de Aprendizagem Cursos de Ensino Recorrente</w:t>
            </w:r>
          </w:p>
          <w:p w14:paraId="07C98BF2" w14:textId="77777777" w:rsidR="00B83B39" w:rsidRDefault="00C272FF">
            <w:pPr>
              <w:pStyle w:val="TableParagraph"/>
              <w:spacing w:before="1"/>
              <w:ind w:left="1283"/>
            </w:pPr>
            <w:r>
              <w:t>Cursos de Educação e Formação de Adultos</w:t>
            </w:r>
          </w:p>
          <w:p w14:paraId="5A0A85AD" w14:textId="77777777" w:rsidR="00B83B39" w:rsidRDefault="00C272FF">
            <w:pPr>
              <w:pStyle w:val="TableParagraph"/>
              <w:spacing w:before="135" w:line="245" w:lineRule="exact"/>
              <w:ind w:left="1283"/>
            </w:pPr>
            <w:r>
              <w:t>(EFA)</w:t>
            </w:r>
          </w:p>
        </w:tc>
      </w:tr>
    </w:tbl>
    <w:p w14:paraId="6A2BB715" w14:textId="77777777" w:rsidR="00B83B39" w:rsidRDefault="00B83B39">
      <w:pPr>
        <w:spacing w:line="245" w:lineRule="exact"/>
        <w:sectPr w:rsidR="00B83B39">
          <w:pgSz w:w="11910" w:h="16840"/>
          <w:pgMar w:top="1660" w:right="880" w:bottom="1340" w:left="960" w:header="692" w:footer="1142" w:gutter="0"/>
          <w:cols w:space="720"/>
        </w:sectPr>
      </w:pPr>
    </w:p>
    <w:p w14:paraId="2A1B94EB" w14:textId="77777777" w:rsidR="00B83B39" w:rsidRDefault="00C272FF">
      <w:pPr>
        <w:pStyle w:val="BodyText"/>
        <w:rPr>
          <w:rFonts w:ascii="Times New Roman"/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7216" behindDoc="1" locked="0" layoutInCell="1" allowOverlap="1" wp14:anchorId="1D48BEE5" wp14:editId="0AD0067A">
            <wp:simplePos x="0" y="0"/>
            <wp:positionH relativeFrom="page">
              <wp:posOffset>676655</wp:posOffset>
            </wp:positionH>
            <wp:positionV relativeFrom="page">
              <wp:posOffset>1473962</wp:posOffset>
            </wp:positionV>
            <wp:extent cx="6154573" cy="7385589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4573" cy="738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2CD19C" w14:textId="77777777" w:rsidR="00B83B39" w:rsidRDefault="00B83B39">
      <w:pPr>
        <w:pStyle w:val="BodyText"/>
        <w:rPr>
          <w:rFonts w:ascii="Times New Roman"/>
          <w:sz w:val="20"/>
        </w:rPr>
      </w:pPr>
    </w:p>
    <w:p w14:paraId="7572507E" w14:textId="77777777" w:rsidR="00B83B39" w:rsidRDefault="00B83B39">
      <w:pPr>
        <w:pStyle w:val="BodyText"/>
        <w:spacing w:before="10"/>
        <w:rPr>
          <w:rFonts w:ascii="Times New Roman"/>
          <w:sz w:val="20"/>
        </w:rPr>
      </w:pPr>
    </w:p>
    <w:tbl>
      <w:tblPr>
        <w:tblW w:w="0" w:type="auto"/>
        <w:tblInd w:w="5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6"/>
        <w:gridCol w:w="5299"/>
      </w:tblGrid>
      <w:tr w:rsidR="00B83B39" w14:paraId="435E4BCA" w14:textId="77777777">
        <w:trPr>
          <w:trHeight w:val="9485"/>
        </w:trPr>
        <w:tc>
          <w:tcPr>
            <w:tcW w:w="4066" w:type="dxa"/>
          </w:tcPr>
          <w:p w14:paraId="3D86F7A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7DD84BB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DDE6BB9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8D77EF0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E2D71DD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4075F95C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8EC229B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5F8422A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00F2565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01A48E4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6B6B2B51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0969BDC3" w14:textId="77777777" w:rsidR="00B83B39" w:rsidRDefault="00B83B39">
            <w:pPr>
              <w:pStyle w:val="TableParagraph"/>
              <w:rPr>
                <w:rFonts w:ascii="Times New Roman"/>
                <w:sz w:val="20"/>
              </w:rPr>
            </w:pPr>
          </w:p>
          <w:p w14:paraId="38A194B8" w14:textId="77777777" w:rsidR="00B83B39" w:rsidRDefault="00B83B39">
            <w:pPr>
              <w:pStyle w:val="TableParagraph"/>
              <w:spacing w:before="3"/>
              <w:rPr>
                <w:rFonts w:ascii="Times New Roman"/>
              </w:rPr>
            </w:pPr>
          </w:p>
          <w:p w14:paraId="29D31722" w14:textId="77777777" w:rsidR="00B83B39" w:rsidRDefault="00C272FF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9951B08" wp14:editId="183B0243">
                  <wp:extent cx="2182549" cy="902970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549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9" w:type="dxa"/>
          </w:tcPr>
          <w:p w14:paraId="222B4759" w14:textId="77777777" w:rsidR="00B83B39" w:rsidRDefault="00C272FF">
            <w:pPr>
              <w:pStyle w:val="TableParagraph"/>
              <w:spacing w:line="225" w:lineRule="exact"/>
              <w:ind w:left="441"/>
            </w:pPr>
            <w:r>
              <w:t>Identifica 11 objetivos temáticos que integram</w:t>
            </w:r>
          </w:p>
          <w:p w14:paraId="715CEC8F" w14:textId="77777777" w:rsidR="00B83B39" w:rsidRDefault="00C272FF">
            <w:pPr>
              <w:pStyle w:val="TableParagraph"/>
              <w:spacing w:before="134" w:line="360" w:lineRule="auto"/>
              <w:ind w:left="441" w:right="203"/>
              <w:jc w:val="both"/>
            </w:pPr>
            <w:r>
              <w:t>diferentes prioridades de investimento com base</w:t>
            </w:r>
            <w:r>
              <w:rPr>
                <w:spacing w:val="-25"/>
              </w:rPr>
              <w:t xml:space="preserve"> </w:t>
            </w:r>
            <w:r>
              <w:t>no acordo de parceria e na identificação das necessidades regionais, e</w:t>
            </w:r>
            <w:r>
              <w:rPr>
                <w:spacing w:val="-5"/>
              </w:rPr>
              <w:t xml:space="preserve"> </w:t>
            </w:r>
            <w:r>
              <w:t>nacionais:</w:t>
            </w:r>
          </w:p>
          <w:p w14:paraId="14EC11E1" w14:textId="77777777" w:rsidR="00B83B39" w:rsidRDefault="00C272FF">
            <w:pPr>
              <w:pStyle w:val="TableParagraph"/>
              <w:spacing w:line="360" w:lineRule="auto"/>
              <w:ind w:left="441" w:right="197"/>
              <w:jc w:val="both"/>
            </w:pPr>
            <w:r>
              <w:t>I Reforçar a investigação, o desenvolvimento tecnológico e a inovação; II Melhorar o acesso às tecnologias da informação e da comunicação, bem como a sua utilização e qualida</w:t>
            </w:r>
            <w:r>
              <w:t>de; III Reforçar a competitividade das pequenas e médias empresas e dos setores agrícola (em relação ao FEADER), das pescas e da aquicultura (em relação ao FEAMP); IV Apoiar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transição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uma</w:t>
            </w:r>
            <w:r>
              <w:rPr>
                <w:spacing w:val="-5"/>
              </w:rPr>
              <w:t xml:space="preserve"> </w:t>
            </w:r>
            <w:r>
              <w:t>economia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baixo</w:t>
            </w:r>
            <w:r>
              <w:rPr>
                <w:spacing w:val="-5"/>
              </w:rPr>
              <w:t xml:space="preserve"> </w:t>
            </w:r>
            <w:r>
              <w:t>teor de carbono em todos os setores; VI Preservar e proteger o ambiente e promover a utilização eficiente dos recursos; VIII Promover a sustentabilidade e a qualidade do emprego e apoiar a mobilidade dos trabalhadores; IX Promover a inclusão</w:t>
            </w:r>
            <w:r>
              <w:rPr>
                <w:spacing w:val="-7"/>
              </w:rPr>
              <w:t xml:space="preserve"> </w:t>
            </w:r>
            <w:r>
              <w:t>social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comba</w:t>
            </w:r>
            <w:r>
              <w:t>ter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pobreza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qualquer</w:t>
            </w:r>
            <w:r>
              <w:rPr>
                <w:spacing w:val="-8"/>
              </w:rPr>
              <w:t xml:space="preserve"> </w:t>
            </w:r>
            <w:r>
              <w:t>tipo de discriminação; X Investir na educação, na formação, nomeadamente profissional, nas competências e na aprendizagem ao longo da vida; XI Melhorar a capacidade institucional das autoridades públicas e partes interessadas e</w:t>
            </w:r>
            <w:r>
              <w:rPr>
                <w:spacing w:val="36"/>
              </w:rPr>
              <w:t xml:space="preserve"> </w:t>
            </w:r>
            <w:r>
              <w:t>a</w:t>
            </w:r>
          </w:p>
          <w:p w14:paraId="3F7695D1" w14:textId="77777777" w:rsidR="00B83B39" w:rsidRDefault="00C272FF">
            <w:pPr>
              <w:pStyle w:val="TableParagraph"/>
              <w:spacing w:line="245" w:lineRule="exact"/>
              <w:ind w:left="441"/>
              <w:jc w:val="both"/>
            </w:pPr>
            <w:r>
              <w:t>e</w:t>
            </w:r>
            <w:r>
              <w:t>ficácia da administração pública.</w:t>
            </w:r>
          </w:p>
        </w:tc>
      </w:tr>
    </w:tbl>
    <w:p w14:paraId="138E6E8F" w14:textId="77777777" w:rsidR="00000000" w:rsidRDefault="00C272FF"/>
    <w:sectPr w:rsidR="00000000">
      <w:pgSz w:w="11910" w:h="16840"/>
      <w:pgMar w:top="1660" w:right="880" w:bottom="1340" w:left="960" w:header="692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DFED1" w14:textId="77777777" w:rsidR="00000000" w:rsidRDefault="00C272FF">
      <w:r>
        <w:separator/>
      </w:r>
    </w:p>
  </w:endnote>
  <w:endnote w:type="continuationSeparator" w:id="0">
    <w:p w14:paraId="1AD3C171" w14:textId="77777777" w:rsidR="00000000" w:rsidRDefault="00C2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1764" w14:textId="77777777" w:rsidR="00C272FF" w:rsidRDefault="00C272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5831" w14:textId="77777777" w:rsidR="00B83B39" w:rsidRDefault="00C272FF">
    <w:pPr>
      <w:pStyle w:val="BodyText"/>
      <w:spacing w:line="14" w:lineRule="auto"/>
      <w:rPr>
        <w:sz w:val="20"/>
      </w:rPr>
    </w:pPr>
    <w:r>
      <w:pict w14:anchorId="32130E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2.95pt;margin-top:769.85pt;width:469.15pt;height:24.2pt;z-index:-251657728;mso-position-horizontal-relative:page;mso-position-vertical-relative:page" filled="f" stroked="f">
          <v:textbox inset="0,0,0,0">
            <w:txbxContent>
              <w:p w14:paraId="58E926B9" w14:textId="77777777" w:rsidR="00B83B39" w:rsidRDefault="00C272FF">
                <w:pPr>
                  <w:spacing w:line="223" w:lineRule="exact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Este projeto é financiado com o apoio da Comissão Europeia. Esta publicação reflete os pontos de vista do autor e a</w:t>
                </w:r>
              </w:p>
              <w:p w14:paraId="037F7F3F" w14:textId="77777777" w:rsidR="00B83B39" w:rsidRDefault="00C272FF">
                <w:pPr>
                  <w:ind w:right="4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Comissão não poderá ser responsabilizada por qualquer 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930A" w14:textId="77777777" w:rsidR="00C272FF" w:rsidRDefault="00C27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27D96" w14:textId="77777777" w:rsidR="00000000" w:rsidRDefault="00C272FF">
      <w:r>
        <w:separator/>
      </w:r>
    </w:p>
  </w:footnote>
  <w:footnote w:type="continuationSeparator" w:id="0">
    <w:p w14:paraId="7CA6C68D" w14:textId="77777777" w:rsidR="00000000" w:rsidRDefault="00C27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3C0BD" w14:textId="77777777" w:rsidR="00C272FF" w:rsidRDefault="00C272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63432" w14:textId="77777777" w:rsidR="00C272FF" w:rsidRDefault="00C272FF" w:rsidP="00C272FF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3F6D5A93" wp14:editId="61388F45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251660800" behindDoc="0" locked="0" layoutInCell="1" allowOverlap="1" wp14:anchorId="51DD2A0C" wp14:editId="2CA3025A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049DF112" wp14:editId="3A35DFC2">
          <wp:extent cx="1590675" cy="596503"/>
          <wp:effectExtent l="0" t="0" r="0" b="0"/>
          <wp:docPr id="2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42BB6CAB" w14:textId="7D3DB771" w:rsidR="00B83B39" w:rsidRPr="00C272FF" w:rsidRDefault="00B83B39" w:rsidP="00C272F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6719B" w14:textId="77777777" w:rsidR="00C272FF" w:rsidRDefault="00C272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B39"/>
    <w:rsid w:val="00B83B39"/>
    <w:rsid w:val="00C2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116732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 w:eastAsia="pt-PT" w:bidi="pt-PT"/>
    </w:rPr>
  </w:style>
  <w:style w:type="paragraph" w:styleId="Heading1">
    <w:name w:val="heading 1"/>
    <w:basedOn w:val="Normal"/>
    <w:uiPriority w:val="9"/>
    <w:qFormat/>
    <w:pPr>
      <w:ind w:left="318" w:right="398"/>
      <w:jc w:val="center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272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2FF"/>
    <w:rPr>
      <w:rFonts w:ascii="Calibri" w:eastAsia="Calibri" w:hAnsi="Calibri" w:cs="Calibri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C272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2FF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header" Target="header2.xml"/><Relationship Id="rId12" Type="http://schemas.openxmlformats.org/officeDocument/2006/relationships/hyperlink" Target="https://www.portugal2020.pt/" TargetMode="External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1020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Jenkins</dc:creator>
  <cp:lastModifiedBy>Margareta von Heland</cp:lastModifiedBy>
  <cp:revision>2</cp:revision>
  <dcterms:created xsi:type="dcterms:W3CDTF">2019-01-16T17:18:00Z</dcterms:created>
  <dcterms:modified xsi:type="dcterms:W3CDTF">2019-01-16T17:18:00Z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