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rPr>
          <w:rFonts w:ascii="Times New Roman"/>
          <w:sz w:val="20"/>
        </w:rPr>
      </w:pPr>
    </w:p>
    <w:p w:rsidR="00434520" w:rsidRDefault="00434520">
      <w:pPr>
        <w:pStyle w:val="BodyText"/>
        <w:spacing w:before="10"/>
        <w:rPr>
          <w:rFonts w:ascii="Times New Roman"/>
          <w:sz w:val="28"/>
        </w:rPr>
      </w:pPr>
    </w:p>
    <w:p w:rsidR="00434520" w:rsidRDefault="008525EE">
      <w:pPr>
        <w:pStyle w:val="Heading1"/>
        <w:spacing w:line="670" w:lineRule="exact"/>
        <w:ind w:left="606" w:right="0"/>
        <w:jc w:val="left"/>
      </w:pPr>
      <w:r>
        <w:t>Iniciativa de Estratégia Integrada para</w:t>
      </w:r>
    </w:p>
    <w:p w:rsidR="00434520" w:rsidRDefault="008525EE">
      <w:pPr>
        <w:ind w:left="304" w:right="318"/>
        <w:jc w:val="center"/>
        <w:rPr>
          <w:b/>
          <w:sz w:val="56"/>
        </w:rPr>
      </w:pPr>
      <w:r>
        <w:rPr>
          <w:b/>
          <w:sz w:val="56"/>
        </w:rPr>
        <w:t>promover e reforçar a oferta de Práticas de Aprendizagem/Estágios no Sector Têxtil</w:t>
      </w:r>
    </w:p>
    <w:p w:rsidR="00434520" w:rsidRDefault="00434520">
      <w:pPr>
        <w:pStyle w:val="BodyText"/>
        <w:rPr>
          <w:b/>
          <w:sz w:val="56"/>
        </w:rPr>
      </w:pPr>
    </w:p>
    <w:p w:rsidR="00434520" w:rsidRDefault="00434520">
      <w:pPr>
        <w:pStyle w:val="BodyText"/>
        <w:rPr>
          <w:b/>
          <w:sz w:val="56"/>
        </w:rPr>
      </w:pPr>
    </w:p>
    <w:p w:rsidR="00434520" w:rsidRDefault="00434520">
      <w:pPr>
        <w:pStyle w:val="BodyText"/>
        <w:spacing w:before="1"/>
        <w:rPr>
          <w:b/>
          <w:sz w:val="56"/>
        </w:rPr>
      </w:pPr>
    </w:p>
    <w:p w:rsidR="00434520" w:rsidRDefault="008525EE">
      <w:pPr>
        <w:ind w:left="298" w:right="318"/>
        <w:jc w:val="center"/>
        <w:rPr>
          <w:b/>
          <w:sz w:val="56"/>
        </w:rPr>
      </w:pPr>
      <w:r>
        <w:rPr>
          <w:b/>
          <w:sz w:val="56"/>
        </w:rPr>
        <w:t>TEXAPP - WP3.2</w:t>
      </w: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8525EE">
      <w:pPr>
        <w:pStyle w:val="BodyText"/>
        <w:spacing w:before="8"/>
        <w:rPr>
          <w:b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1pt;margin-top:9.95pt;width:401.15pt;height:49.45pt;z-index:-251656704;mso-wrap-distance-left:0;mso-wrap-distance-right:0;mso-position-horizontal-relative:page" fillcolor="#d4dce3" strokeweight=".48pt">
            <v:textbox inset="0,0,0,0">
              <w:txbxContent>
                <w:p w:rsidR="00434520" w:rsidRDefault="008525EE">
                  <w:pPr>
                    <w:ind w:left="2518" w:hanging="843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Orientações sobre programas de aprendizagem/estágio</w:t>
                  </w:r>
                </w:p>
              </w:txbxContent>
            </v:textbox>
            <w10:wrap type="topAndBottom" anchorx="page"/>
          </v:shape>
        </w:pict>
      </w: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spacing w:before="12"/>
        <w:rPr>
          <w:b/>
        </w:rPr>
      </w:pPr>
    </w:p>
    <w:tbl>
      <w:tblPr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5999"/>
      </w:tblGrid>
      <w:tr w:rsidR="00434520">
        <w:trPr>
          <w:trHeight w:val="782"/>
        </w:trPr>
        <w:tc>
          <w:tcPr>
            <w:tcW w:w="2016" w:type="dxa"/>
            <w:shd w:val="clear" w:color="auto" w:fill="2D74B5"/>
          </w:tcPr>
          <w:p w:rsidR="00434520" w:rsidRDefault="008525EE">
            <w:pPr>
              <w:pStyle w:val="TableParagraph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Desenvolvido</w:t>
            </w:r>
          </w:p>
          <w:p w:rsidR="00434520" w:rsidRDefault="008525EE">
            <w:pPr>
              <w:pStyle w:val="TableParagraph"/>
              <w:spacing w:line="371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por:</w:t>
            </w:r>
          </w:p>
        </w:tc>
        <w:tc>
          <w:tcPr>
            <w:tcW w:w="5999" w:type="dxa"/>
            <w:shd w:val="clear" w:color="auto" w:fill="D4DCE3"/>
          </w:tcPr>
          <w:p w:rsidR="00434520" w:rsidRDefault="008525EE">
            <w:pPr>
              <w:pStyle w:val="TableParagraph"/>
              <w:ind w:left="108"/>
              <w:rPr>
                <w:sz w:val="32"/>
              </w:rPr>
            </w:pPr>
            <w:r>
              <w:rPr>
                <w:sz w:val="32"/>
              </w:rPr>
              <w:t>CITEVE</w:t>
            </w:r>
          </w:p>
        </w:tc>
      </w:tr>
    </w:tbl>
    <w:p w:rsidR="00434520" w:rsidRDefault="00434520">
      <w:pPr>
        <w:rPr>
          <w:sz w:val="32"/>
        </w:rPr>
        <w:sectPr w:rsidR="004345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60" w:right="960" w:bottom="1420" w:left="980" w:header="692" w:footer="1222" w:gutter="0"/>
          <w:cols w:space="720"/>
        </w:sect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434520">
      <w:pPr>
        <w:pStyle w:val="BodyText"/>
        <w:rPr>
          <w:b/>
          <w:sz w:val="20"/>
        </w:rPr>
      </w:pPr>
    </w:p>
    <w:p w:rsidR="00434520" w:rsidRDefault="008525EE">
      <w:pPr>
        <w:pStyle w:val="Heading2"/>
        <w:spacing w:before="156"/>
        <w:jc w:val="both"/>
      </w:pPr>
      <w:r>
        <w:t>Enquadramento</w:t>
      </w:r>
    </w:p>
    <w:p w:rsidR="00434520" w:rsidRDefault="008525EE">
      <w:pPr>
        <w:spacing w:before="192" w:line="360" w:lineRule="auto"/>
        <w:ind w:left="100" w:right="118"/>
        <w:jc w:val="both"/>
      </w:pPr>
      <w:r>
        <w:t xml:space="preserve">Em Portugal existem várias medidas no âmbito dos Programas de estágio/aprendizagem profissional. De acordo com IEFP (2018) os estágios são </w:t>
      </w:r>
      <w:r>
        <w:rPr>
          <w:i/>
        </w:rPr>
        <w:t>Medidas que se concretizam no apoio à (re)inserção profissional dos seus destinatários através do desen</w:t>
      </w:r>
      <w:r>
        <w:rPr>
          <w:i/>
        </w:rPr>
        <w:t>volvimento de uma experiência de formação prática em contexto de trabalho</w:t>
      </w:r>
      <w:r>
        <w:t>.</w:t>
      </w:r>
    </w:p>
    <w:p w:rsidR="00434520" w:rsidRDefault="008525EE">
      <w:pPr>
        <w:spacing w:before="2" w:line="357" w:lineRule="auto"/>
        <w:ind w:left="100" w:right="114"/>
        <w:jc w:val="both"/>
      </w:pPr>
      <w:r>
        <w:t>O</w:t>
      </w:r>
      <w:r>
        <w:rPr>
          <w:spacing w:val="-6"/>
        </w:rPr>
        <w:t xml:space="preserve"> </w:t>
      </w:r>
      <w:r>
        <w:t>atual</w:t>
      </w:r>
      <w:r>
        <w:rPr>
          <w:spacing w:val="-8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Nacional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Qualificações,</w:t>
      </w:r>
      <w:r>
        <w:rPr>
          <w:spacing w:val="-5"/>
        </w:rPr>
        <w:t xml:space="preserve"> </w:t>
      </w:r>
      <w:r>
        <w:t>define</w:t>
      </w:r>
      <w:r>
        <w:rPr>
          <w:spacing w:val="-6"/>
        </w:rPr>
        <w:t xml:space="preserve"> </w:t>
      </w:r>
      <w:r>
        <w:t>formação</w:t>
      </w:r>
      <w:r>
        <w:rPr>
          <w:spacing w:val="-5"/>
        </w:rPr>
        <w:t xml:space="preserve"> </w:t>
      </w:r>
      <w:r>
        <w:t>profissional</w:t>
      </w:r>
      <w:r>
        <w:rPr>
          <w:spacing w:val="-9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formação</w:t>
      </w:r>
      <w:r>
        <w:rPr>
          <w:i/>
          <w:spacing w:val="-7"/>
        </w:rPr>
        <w:t xml:space="preserve"> </w:t>
      </w:r>
      <w:r>
        <w:rPr>
          <w:i/>
        </w:rPr>
        <w:t>que</w:t>
      </w:r>
      <w:r>
        <w:rPr>
          <w:i/>
          <w:spacing w:val="-6"/>
        </w:rPr>
        <w:t xml:space="preserve"> </w:t>
      </w:r>
      <w:r>
        <w:rPr>
          <w:i/>
        </w:rPr>
        <w:t>tem</w:t>
      </w:r>
      <w:r>
        <w:rPr>
          <w:i/>
          <w:spacing w:val="-7"/>
        </w:rPr>
        <w:t xml:space="preserve"> </w:t>
      </w:r>
      <w:r>
        <w:rPr>
          <w:i/>
        </w:rPr>
        <w:t>como objetivo dotar o individuo de competências com vista ao exercício de uma ou</w:t>
      </w:r>
      <w:r>
        <w:rPr>
          <w:i/>
        </w:rPr>
        <w:t xml:space="preserve"> mais atividades</w:t>
      </w:r>
      <w:r>
        <w:rPr>
          <w:i/>
          <w:spacing w:val="-27"/>
        </w:rPr>
        <w:t xml:space="preserve"> </w:t>
      </w:r>
      <w:r>
        <w:rPr>
          <w:i/>
        </w:rPr>
        <w:t>profissionais</w:t>
      </w:r>
      <w:r>
        <w:t>.</w:t>
      </w:r>
    </w:p>
    <w:p w:rsidR="00434520" w:rsidRDefault="008525EE">
      <w:pPr>
        <w:spacing w:before="3" w:line="360" w:lineRule="auto"/>
        <w:ind w:left="100" w:right="111"/>
        <w:jc w:val="both"/>
        <w:rPr>
          <w:i/>
        </w:rPr>
      </w:pPr>
      <w:r>
        <w:t>Em</w:t>
      </w:r>
      <w:r>
        <w:rPr>
          <w:spacing w:val="-10"/>
        </w:rPr>
        <w:t xml:space="preserve"> </w:t>
      </w:r>
      <w:r>
        <w:t>Portugal,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formação</w:t>
      </w:r>
      <w:r>
        <w:rPr>
          <w:spacing w:val="-9"/>
        </w:rPr>
        <w:t xml:space="preserve"> </w:t>
      </w:r>
      <w:r>
        <w:t>profissional</w:t>
      </w:r>
      <w:r>
        <w:rPr>
          <w:spacing w:val="-7"/>
        </w:rPr>
        <w:t xml:space="preserve"> </w:t>
      </w:r>
      <w:r>
        <w:t>tem</w:t>
      </w:r>
      <w:r>
        <w:rPr>
          <w:spacing w:val="-10"/>
        </w:rPr>
        <w:t xml:space="preserve"> </w:t>
      </w:r>
      <w:r>
        <w:t>vindo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alvo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mudanças</w:t>
      </w:r>
      <w:r>
        <w:rPr>
          <w:spacing w:val="-11"/>
        </w:rPr>
        <w:t xml:space="preserve"> </w:t>
      </w:r>
      <w:r>
        <w:t>profundas</w:t>
      </w:r>
      <w:r>
        <w:rPr>
          <w:spacing w:val="-11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longo</w:t>
      </w:r>
      <w:r>
        <w:rPr>
          <w:spacing w:val="-9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séculos,</w:t>
      </w:r>
      <w:r>
        <w:rPr>
          <w:spacing w:val="-10"/>
        </w:rPr>
        <w:t xml:space="preserve"> </w:t>
      </w:r>
      <w:r>
        <w:t>tendo no</w:t>
      </w:r>
      <w:r>
        <w:rPr>
          <w:spacing w:val="-13"/>
        </w:rPr>
        <w:t xml:space="preserve"> </w:t>
      </w:r>
      <w:r>
        <w:t>Estado</w:t>
      </w:r>
      <w:r>
        <w:rPr>
          <w:spacing w:val="-12"/>
        </w:rPr>
        <w:t xml:space="preserve"> </w:t>
      </w:r>
      <w:r>
        <w:t>Novo</w:t>
      </w:r>
      <w:r>
        <w:rPr>
          <w:spacing w:val="-14"/>
        </w:rPr>
        <w:t xml:space="preserve"> </w:t>
      </w:r>
      <w:r>
        <w:t>merecido</w:t>
      </w:r>
      <w:r>
        <w:rPr>
          <w:spacing w:val="-13"/>
        </w:rPr>
        <w:t xml:space="preserve"> </w:t>
      </w:r>
      <w:r>
        <w:t>especial</w:t>
      </w:r>
      <w:r>
        <w:rPr>
          <w:spacing w:val="-14"/>
        </w:rPr>
        <w:t xml:space="preserve"> </w:t>
      </w:r>
      <w:r>
        <w:t>atenção</w:t>
      </w:r>
      <w:r>
        <w:rPr>
          <w:spacing w:val="-12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abertura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centenas</w:t>
      </w:r>
      <w:r>
        <w:rPr>
          <w:spacing w:val="-14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escolas</w:t>
      </w:r>
      <w:r>
        <w:rPr>
          <w:spacing w:val="-15"/>
        </w:rPr>
        <w:t xml:space="preserve"> </w:t>
      </w:r>
      <w:r>
        <w:t>técnicas.</w:t>
      </w:r>
      <w:r>
        <w:rPr>
          <w:spacing w:val="-13"/>
        </w:rPr>
        <w:t xml:space="preserve"> </w:t>
      </w:r>
      <w:r>
        <w:t>Durante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últimas décadas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formação</w:t>
      </w:r>
      <w:r>
        <w:rPr>
          <w:spacing w:val="-3"/>
        </w:rPr>
        <w:t xml:space="preserve"> </w:t>
      </w:r>
      <w:r>
        <w:t>profissional</w:t>
      </w:r>
      <w:r>
        <w:rPr>
          <w:spacing w:val="-6"/>
        </w:rPr>
        <w:t xml:space="preserve"> </w:t>
      </w:r>
      <w:r>
        <w:t>tem</w:t>
      </w:r>
      <w:r>
        <w:rPr>
          <w:spacing w:val="-6"/>
        </w:rPr>
        <w:t xml:space="preserve"> </w:t>
      </w:r>
      <w:r>
        <w:t>assumido</w:t>
      </w:r>
      <w:r>
        <w:rPr>
          <w:spacing w:val="-4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importância</w:t>
      </w:r>
      <w:r>
        <w:rPr>
          <w:spacing w:val="-6"/>
        </w:rPr>
        <w:t xml:space="preserve"> </w:t>
      </w:r>
      <w:r>
        <w:t>acrescida</w:t>
      </w:r>
      <w:r>
        <w:rPr>
          <w:spacing w:val="-6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diferentes</w:t>
      </w:r>
      <w:r>
        <w:rPr>
          <w:spacing w:val="-6"/>
        </w:rPr>
        <w:t xml:space="preserve"> </w:t>
      </w:r>
      <w:r>
        <w:t xml:space="preserve">governos, em março de 2000, o Conselho Europeu de Lisboa definiu como objetivo estratégico para a União Europeia, </w:t>
      </w:r>
      <w:r>
        <w:rPr>
          <w:i/>
        </w:rPr>
        <w:t>tornar-se na economia baseada no conhe</w:t>
      </w:r>
      <w:r>
        <w:rPr>
          <w:i/>
        </w:rPr>
        <w:t xml:space="preserve">cimento, mais competitiva do mundo, capaz de garantir um crescimento económico sustentável, com mais e melhores empregos, e com melhor coesão social. </w:t>
      </w:r>
      <w:r>
        <w:t xml:space="preserve">Estas alterações requeriam </w:t>
      </w:r>
      <w:r>
        <w:rPr>
          <w:i/>
        </w:rPr>
        <w:t xml:space="preserve">uma transformação radical da economia europeia </w:t>
      </w:r>
      <w:r>
        <w:t xml:space="preserve">e um programa </w:t>
      </w:r>
      <w:r>
        <w:rPr>
          <w:i/>
        </w:rPr>
        <w:t>estimulante de modernização dos sistemas de proteção social e de ensino</w:t>
      </w:r>
      <w:r>
        <w:t>. Foi reconhecido, de forma inequívoca, o papel desempenhado</w:t>
      </w:r>
      <w:r>
        <w:rPr>
          <w:spacing w:val="-8"/>
        </w:rPr>
        <w:t xml:space="preserve"> </w:t>
      </w:r>
      <w:r>
        <w:t>pelos</w:t>
      </w:r>
      <w:r>
        <w:rPr>
          <w:spacing w:val="-8"/>
        </w:rPr>
        <w:t xml:space="preserve"> </w:t>
      </w:r>
      <w:r>
        <w:t>sistemas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educação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formação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estratégia</w:t>
      </w:r>
      <w:r>
        <w:rPr>
          <w:spacing w:val="-8"/>
        </w:rPr>
        <w:t xml:space="preserve"> </w:t>
      </w:r>
      <w:r>
        <w:t>económica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futuro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Europa, e</w:t>
      </w:r>
      <w:r>
        <w:rPr>
          <w:spacing w:val="-8"/>
        </w:rPr>
        <w:t xml:space="preserve"> </w:t>
      </w:r>
      <w:r>
        <w:t>definiu-se</w:t>
      </w:r>
      <w:r>
        <w:rPr>
          <w:spacing w:val="-8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grande</w:t>
      </w:r>
      <w:r>
        <w:rPr>
          <w:spacing w:val="-8"/>
        </w:rPr>
        <w:t xml:space="preserve"> </w:t>
      </w:r>
      <w:r>
        <w:t>objetivo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política</w:t>
      </w:r>
      <w:r>
        <w:rPr>
          <w:spacing w:val="-8"/>
        </w:rPr>
        <w:t xml:space="preserve"> </w:t>
      </w:r>
      <w:r>
        <w:t>comum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rPr>
          <w:i/>
        </w:rPr>
        <w:t>a</w:t>
      </w:r>
      <w:r>
        <w:rPr>
          <w:i/>
          <w:spacing w:val="-9"/>
        </w:rPr>
        <w:t xml:space="preserve"> </w:t>
      </w:r>
      <w:r>
        <w:rPr>
          <w:i/>
        </w:rPr>
        <w:t>educação</w:t>
      </w:r>
      <w:r>
        <w:rPr>
          <w:i/>
          <w:spacing w:val="-8"/>
        </w:rPr>
        <w:t xml:space="preserve"> </w:t>
      </w:r>
      <w:r>
        <w:rPr>
          <w:i/>
        </w:rPr>
        <w:t>e</w:t>
      </w:r>
      <w:r>
        <w:rPr>
          <w:i/>
          <w:spacing w:val="-8"/>
        </w:rPr>
        <w:t xml:space="preserve"> </w:t>
      </w:r>
      <w:r>
        <w:rPr>
          <w:i/>
        </w:rPr>
        <w:t>formação</w:t>
      </w:r>
      <w:r>
        <w:rPr>
          <w:i/>
          <w:spacing w:val="-8"/>
        </w:rPr>
        <w:t xml:space="preserve"> </w:t>
      </w:r>
      <w:r>
        <w:rPr>
          <w:i/>
        </w:rPr>
        <w:t>na</w:t>
      </w:r>
      <w:r>
        <w:rPr>
          <w:i/>
          <w:spacing w:val="-9"/>
        </w:rPr>
        <w:t xml:space="preserve"> </w:t>
      </w:r>
      <w:r>
        <w:rPr>
          <w:i/>
        </w:rPr>
        <w:t>Europa</w:t>
      </w:r>
      <w:r>
        <w:rPr>
          <w:i/>
          <w:spacing w:val="-9"/>
        </w:rPr>
        <w:t xml:space="preserve"> </w:t>
      </w:r>
      <w:r>
        <w:rPr>
          <w:i/>
        </w:rPr>
        <w:t>teria</w:t>
      </w:r>
      <w:r>
        <w:rPr>
          <w:i/>
          <w:spacing w:val="-9"/>
        </w:rPr>
        <w:t xml:space="preserve"> </w:t>
      </w:r>
      <w:r>
        <w:rPr>
          <w:i/>
        </w:rPr>
        <w:t>que</w:t>
      </w:r>
      <w:r>
        <w:rPr>
          <w:i/>
          <w:spacing w:val="-8"/>
        </w:rPr>
        <w:t xml:space="preserve"> </w:t>
      </w:r>
      <w:r>
        <w:rPr>
          <w:i/>
        </w:rPr>
        <w:t>ser</w:t>
      </w:r>
      <w:r>
        <w:rPr>
          <w:i/>
          <w:spacing w:val="-8"/>
        </w:rPr>
        <w:t xml:space="preserve"> </w:t>
      </w:r>
      <w:r>
        <w:rPr>
          <w:i/>
          <w:spacing w:val="-2"/>
        </w:rPr>
        <w:t xml:space="preserve">uma </w:t>
      </w:r>
      <w:r>
        <w:rPr>
          <w:i/>
        </w:rPr>
        <w:t>referência</w:t>
      </w:r>
      <w:r>
        <w:rPr>
          <w:i/>
          <w:spacing w:val="-5"/>
        </w:rPr>
        <w:t xml:space="preserve"> </w:t>
      </w:r>
      <w:r>
        <w:rPr>
          <w:i/>
        </w:rPr>
        <w:t>mundial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7"/>
        </w:rPr>
        <w:t xml:space="preserve"> </w:t>
      </w:r>
      <w:r>
        <w:rPr>
          <w:i/>
        </w:rPr>
        <w:t>qualidade</w:t>
      </w:r>
      <w:r>
        <w:rPr>
          <w:i/>
          <w:spacing w:val="-3"/>
        </w:rPr>
        <w:t xml:space="preserve"> </w:t>
      </w:r>
      <w:r>
        <w:rPr>
          <w:i/>
        </w:rPr>
        <w:t>até</w:t>
      </w:r>
      <w:r>
        <w:rPr>
          <w:i/>
          <w:spacing w:val="-5"/>
        </w:rPr>
        <w:t xml:space="preserve"> </w:t>
      </w:r>
      <w:r>
        <w:rPr>
          <w:i/>
        </w:rPr>
        <w:t>2010</w:t>
      </w:r>
      <w:r>
        <w:t>,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seus</w:t>
      </w:r>
      <w:r>
        <w:rPr>
          <w:spacing w:val="-7"/>
        </w:rPr>
        <w:t xml:space="preserve"> </w:t>
      </w:r>
      <w:r>
        <w:t>sistemas</w:t>
      </w:r>
      <w:r>
        <w:rPr>
          <w:spacing w:val="-3"/>
        </w:rPr>
        <w:t xml:space="preserve"> </w:t>
      </w:r>
      <w:r>
        <w:t>deveriam</w:t>
      </w:r>
      <w:r>
        <w:rPr>
          <w:spacing w:val="-4"/>
        </w:rPr>
        <w:t xml:space="preserve"> </w:t>
      </w:r>
      <w:r>
        <w:rPr>
          <w:i/>
        </w:rPr>
        <w:t>aliar</w:t>
      </w:r>
      <w:r>
        <w:rPr>
          <w:i/>
          <w:spacing w:val="-2"/>
        </w:rPr>
        <w:t xml:space="preserve"> </w:t>
      </w:r>
      <w:r>
        <w:rPr>
          <w:i/>
        </w:rPr>
        <w:t>qualidade,</w:t>
      </w:r>
      <w:r>
        <w:rPr>
          <w:i/>
          <w:spacing w:val="-4"/>
        </w:rPr>
        <w:t xml:space="preserve"> </w:t>
      </w:r>
      <w:r>
        <w:rPr>
          <w:i/>
        </w:rPr>
        <w:t>acesso</w:t>
      </w:r>
      <w:r>
        <w:rPr>
          <w:i/>
          <w:spacing w:val="-3"/>
        </w:rPr>
        <w:t xml:space="preserve"> </w:t>
      </w:r>
      <w:r>
        <w:rPr>
          <w:i/>
        </w:rPr>
        <w:t>generalizado</w:t>
      </w:r>
      <w:r>
        <w:rPr>
          <w:i/>
          <w:spacing w:val="-6"/>
        </w:rPr>
        <w:t xml:space="preserve"> </w:t>
      </w:r>
      <w:r>
        <w:rPr>
          <w:i/>
        </w:rPr>
        <w:t xml:space="preserve">e </w:t>
      </w:r>
      <w:r>
        <w:rPr>
          <w:i/>
        </w:rPr>
        <w:t>abertura ao mundo</w:t>
      </w:r>
      <w:r>
        <w:rPr>
          <w:i/>
          <w:spacing w:val="-4"/>
        </w:rPr>
        <w:t xml:space="preserve"> </w:t>
      </w:r>
      <w:r>
        <w:rPr>
          <w:i/>
        </w:rPr>
        <w:t>exterior.</w:t>
      </w:r>
    </w:p>
    <w:p w:rsidR="00434520" w:rsidRDefault="008525EE">
      <w:pPr>
        <w:pStyle w:val="BodyText"/>
        <w:spacing w:before="1" w:line="360" w:lineRule="auto"/>
        <w:ind w:left="100" w:right="119"/>
        <w:jc w:val="both"/>
      </w:pPr>
      <w:r>
        <w:t>O Comunicado de Bruges de dezembro de 2010 fixou os objetivos estratégicos de longo prazo para a cooperação europeia em matéria de Educação e Formação Profissional (EFP) para o período de 2011 a 2020, e</w:t>
      </w:r>
      <w:r>
        <w:rPr>
          <w:spacing w:val="-14"/>
        </w:rPr>
        <w:t xml:space="preserve"> </w:t>
      </w:r>
      <w:r>
        <w:t>reforçou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importância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ensino</w:t>
      </w:r>
      <w:r>
        <w:rPr>
          <w:spacing w:val="-15"/>
        </w:rPr>
        <w:t xml:space="preserve"> </w:t>
      </w:r>
      <w:r>
        <w:t>profissional</w:t>
      </w:r>
      <w:r>
        <w:rPr>
          <w:spacing w:val="-14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prossecução</w:t>
      </w:r>
      <w:r>
        <w:rPr>
          <w:spacing w:val="-13"/>
        </w:rPr>
        <w:t xml:space="preserve"> </w:t>
      </w:r>
      <w:r>
        <w:t>dos</w:t>
      </w:r>
      <w:r>
        <w:rPr>
          <w:spacing w:val="-16"/>
        </w:rPr>
        <w:t xml:space="preserve"> </w:t>
      </w:r>
      <w:r>
        <w:t>objetivos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flexibilidade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permeabilidade entre os sistemas de ensino</w:t>
      </w:r>
      <w:r>
        <w:rPr>
          <w:spacing w:val="-5"/>
        </w:rPr>
        <w:t xml:space="preserve"> </w:t>
      </w:r>
      <w:r>
        <w:t>profissional.</w:t>
      </w:r>
    </w:p>
    <w:p w:rsidR="00434520" w:rsidRDefault="008525EE">
      <w:pPr>
        <w:pStyle w:val="BodyText"/>
        <w:spacing w:before="2" w:line="360" w:lineRule="auto"/>
        <w:ind w:left="100" w:right="113"/>
        <w:jc w:val="both"/>
      </w:pPr>
      <w:r>
        <w:t>A Comunicação da Comissão em 2012, «Repensar a Educação: investir nas competências para melhores resultados</w:t>
      </w:r>
      <w:r>
        <w:rPr>
          <w:spacing w:val="-5"/>
        </w:rPr>
        <w:t xml:space="preserve"> </w:t>
      </w:r>
      <w:r>
        <w:t>socioeconómicos»,</w:t>
      </w:r>
      <w:r>
        <w:rPr>
          <w:spacing w:val="-2"/>
        </w:rPr>
        <w:t xml:space="preserve"> </w:t>
      </w:r>
      <w:r>
        <w:t>recomendou</w:t>
      </w:r>
      <w:r>
        <w:rPr>
          <w:spacing w:val="-3"/>
        </w:rPr>
        <w:t xml:space="preserve"> </w:t>
      </w:r>
      <w:r>
        <w:t>iniciativas</w:t>
      </w:r>
      <w:r>
        <w:rPr>
          <w:spacing w:val="-4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Estados-Membros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sentido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criação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ofertas que proporcionassem competências certas para o emprego, novas formas de ensinar e aprender e novas abordagens ao financiamento e às</w:t>
      </w:r>
      <w:r>
        <w:rPr>
          <w:spacing w:val="-1"/>
        </w:rPr>
        <w:t xml:space="preserve"> </w:t>
      </w:r>
      <w:r>
        <w:t>parcerias.</w:t>
      </w:r>
    </w:p>
    <w:p w:rsidR="00434520" w:rsidRDefault="008525EE">
      <w:pPr>
        <w:pStyle w:val="BodyText"/>
        <w:spacing w:line="360" w:lineRule="auto"/>
        <w:ind w:left="100" w:right="122"/>
        <w:jc w:val="both"/>
      </w:pPr>
      <w:r>
        <w:t>Com a evolução do ensino e com o aumento da oferta educativa, os centros de formação apresentam uma grand</w:t>
      </w:r>
      <w:r>
        <w:t>e importância no aumento da formação e qualificação dos portugueses.</w:t>
      </w:r>
    </w:p>
    <w:p w:rsidR="00434520" w:rsidRDefault="008525EE">
      <w:pPr>
        <w:pStyle w:val="BodyText"/>
        <w:spacing w:line="360" w:lineRule="auto"/>
        <w:ind w:left="100" w:right="115"/>
        <w:jc w:val="both"/>
      </w:pPr>
      <w:r>
        <w:t>A formação contínua é cada vez mais uma exigência, seja qual for a profissão, sendo fundamental que haja mecanismos formais para que se possa atualizar os conhecimentos.</w:t>
      </w:r>
    </w:p>
    <w:p w:rsidR="00434520" w:rsidRDefault="00434520">
      <w:pPr>
        <w:spacing w:line="360" w:lineRule="auto"/>
        <w:jc w:val="both"/>
        <w:sectPr w:rsidR="00434520">
          <w:pgSz w:w="11910" w:h="16840"/>
          <w:pgMar w:top="1660" w:right="960" w:bottom="1420" w:left="980" w:header="692" w:footer="1222" w:gutter="0"/>
          <w:cols w:space="720"/>
        </w:sect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spacing w:before="5"/>
        <w:rPr>
          <w:sz w:val="21"/>
        </w:rPr>
      </w:pPr>
    </w:p>
    <w:p w:rsidR="00434520" w:rsidRDefault="008525EE">
      <w:pPr>
        <w:pStyle w:val="BodyText"/>
        <w:spacing w:before="56" w:line="357" w:lineRule="auto"/>
        <w:ind w:left="100"/>
      </w:pPr>
      <w:r>
        <w:t>Os</w:t>
      </w:r>
      <w:r>
        <w:rPr>
          <w:spacing w:val="-14"/>
        </w:rPr>
        <w:t xml:space="preserve"> </w:t>
      </w:r>
      <w:r>
        <w:t>motivos</w:t>
      </w:r>
      <w:r>
        <w:rPr>
          <w:spacing w:val="-10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procura</w:t>
      </w:r>
      <w:r>
        <w:rPr>
          <w:spacing w:val="-13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uma</w:t>
      </w:r>
      <w:r>
        <w:rPr>
          <w:spacing w:val="-11"/>
        </w:rPr>
        <w:t xml:space="preserve"> </w:t>
      </w:r>
      <w:r>
        <w:t>oferta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estágio</w:t>
      </w:r>
      <w:r>
        <w:rPr>
          <w:spacing w:val="-8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programa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aprendizagem</w:t>
      </w:r>
      <w:r>
        <w:rPr>
          <w:spacing w:val="-10"/>
        </w:rPr>
        <w:t xml:space="preserve"> </w:t>
      </w:r>
      <w:r>
        <w:t>podem</w:t>
      </w:r>
      <w:r>
        <w:rPr>
          <w:spacing w:val="-9"/>
        </w:rPr>
        <w:t xml:space="preserve"> </w:t>
      </w:r>
      <w:r>
        <w:t>estar</w:t>
      </w:r>
      <w:r>
        <w:rPr>
          <w:spacing w:val="-10"/>
        </w:rPr>
        <w:t xml:space="preserve"> </w:t>
      </w:r>
      <w:r>
        <w:t>relacionados com:</w:t>
      </w:r>
    </w:p>
    <w:p w:rsidR="00434520" w:rsidRDefault="008525EE">
      <w:pPr>
        <w:pStyle w:val="BodyText"/>
        <w:spacing w:before="4"/>
        <w:ind w:left="820"/>
      </w:pPr>
      <w:r>
        <w:rPr>
          <w:noProof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942181</wp:posOffset>
            </wp:positionH>
            <wp:positionV relativeFrom="paragraph">
              <wp:posOffset>39416</wp:posOffset>
            </wp:positionV>
            <wp:extent cx="78713" cy="7772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13" cy="7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aprendizagem em contexto de trabalho, durante um curso ou formação;</w:t>
      </w:r>
    </w:p>
    <w:p w:rsidR="00434520" w:rsidRDefault="008525EE">
      <w:pPr>
        <w:pStyle w:val="BodyText"/>
        <w:spacing w:before="134" w:line="360" w:lineRule="auto"/>
        <w:ind w:left="820" w:right="199"/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942181</wp:posOffset>
            </wp:positionH>
            <wp:positionV relativeFrom="paragraph">
              <wp:posOffset>121839</wp:posOffset>
            </wp:positionV>
            <wp:extent cx="78713" cy="7772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13" cy="7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942181</wp:posOffset>
            </wp:positionH>
            <wp:positionV relativeFrom="paragraph">
              <wp:posOffset>377744</wp:posOffset>
            </wp:positionV>
            <wp:extent cx="78713" cy="77723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13" cy="7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procura por uma primeira experiência de trabalho, para facilitar a ins</w:t>
      </w:r>
      <w:r>
        <w:t>erção no mercado de trabalho; obtenção de cédula profissional;</w:t>
      </w:r>
    </w:p>
    <w:p w:rsidR="00434520" w:rsidRDefault="008525EE">
      <w:pPr>
        <w:pStyle w:val="BodyText"/>
        <w:spacing w:before="1"/>
        <w:ind w:left="820"/>
      </w:pPr>
      <w:r>
        <w:rPr>
          <w:noProof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942181</wp:posOffset>
            </wp:positionH>
            <wp:positionV relativeFrom="paragraph">
              <wp:posOffset>37130</wp:posOffset>
            </wp:positionV>
            <wp:extent cx="78713" cy="77723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13" cy="7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sequência de uma nova formação e reconversão de carreira.</w:t>
      </w: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spacing w:before="6"/>
        <w:rPr>
          <w:sz w:val="19"/>
        </w:rPr>
      </w:pPr>
    </w:p>
    <w:p w:rsidR="00434520" w:rsidRDefault="008525EE">
      <w:pPr>
        <w:pStyle w:val="BodyText"/>
        <w:spacing w:before="56" w:line="357" w:lineRule="auto"/>
        <w:ind w:left="100"/>
      </w:pPr>
      <w:r>
        <w:t>De seguida, apresentamos um breve resumo dos programas de formação/aprendizagem/estágio que existem em Portugal.</w:t>
      </w:r>
    </w:p>
    <w:p w:rsidR="00434520" w:rsidRDefault="008525EE">
      <w:pPr>
        <w:pStyle w:val="BodyText"/>
        <w:spacing w:before="4"/>
        <w:ind w:left="100"/>
      </w:pPr>
      <w:r>
        <w:t>Para informação mais detalhada de todo a oferta formativa:</w:t>
      </w:r>
    </w:p>
    <w:p w:rsidR="00434520" w:rsidRDefault="008525EE">
      <w:pPr>
        <w:pStyle w:val="BodyText"/>
        <w:spacing w:before="135" w:line="360" w:lineRule="auto"/>
        <w:ind w:left="100" w:right="3661"/>
      </w:pPr>
      <w:r>
        <w:t xml:space="preserve">ANQEP – Agência Nacional para a Qualificação e o Ensino Profissional </w:t>
      </w:r>
      <w:hyperlink r:id="rId14">
        <w:r>
          <w:rPr>
            <w:color w:val="0000FF"/>
            <w:u w:val="single" w:color="0000FF"/>
          </w:rPr>
          <w:t>http://www.anqep.gov.pt/default.aspx</w:t>
        </w:r>
      </w:hyperlink>
    </w:p>
    <w:p w:rsidR="00434520" w:rsidRDefault="008525EE">
      <w:pPr>
        <w:pStyle w:val="BodyText"/>
        <w:spacing w:line="360" w:lineRule="auto"/>
        <w:ind w:left="100" w:right="2989"/>
      </w:pPr>
      <w:r>
        <w:t>DGES –Direção Geral do Ensino Super</w:t>
      </w:r>
      <w:r>
        <w:t xml:space="preserve">ior </w:t>
      </w:r>
      <w:hyperlink r:id="rId15">
        <w:r>
          <w:rPr>
            <w:color w:val="0000FF"/>
            <w:u w:val="single" w:color="0000FF"/>
          </w:rPr>
          <w:t>https://www.dges.gov.pt/pt/pagina/cursos-tecnicos-superiores-profissionais</w:t>
        </w:r>
      </w:hyperlink>
      <w:r>
        <w:rPr>
          <w:color w:val="0000FF"/>
        </w:rPr>
        <w:t xml:space="preserve"> </w:t>
      </w:r>
      <w:r>
        <w:t xml:space="preserve">IEFP – Instituto de Emprego e Formação profissional </w:t>
      </w:r>
      <w:hyperlink r:id="rId16">
        <w:r>
          <w:rPr>
            <w:color w:val="0000FF"/>
            <w:u w:val="single" w:color="0000FF"/>
          </w:rPr>
          <w:t>https://www.iefp.pt/estagios</w:t>
        </w:r>
      </w:hyperlink>
    </w:p>
    <w:p w:rsidR="00434520" w:rsidRDefault="008525EE">
      <w:pPr>
        <w:pStyle w:val="BodyText"/>
        <w:spacing w:line="360" w:lineRule="auto"/>
        <w:ind w:left="100" w:right="6102"/>
      </w:pPr>
      <w:r>
        <w:t xml:space="preserve">CNQ – Catálogo Nacional de Qualificações </w:t>
      </w:r>
      <w:hyperlink r:id="rId17">
        <w:r>
          <w:rPr>
            <w:color w:val="0000FF"/>
            <w:u w:val="single" w:color="0000FF"/>
          </w:rPr>
          <w:t>http://www.catalogo.anqep.gov.pt/</w:t>
        </w:r>
      </w:hyperlink>
    </w:p>
    <w:p w:rsidR="00434520" w:rsidRDefault="00434520">
      <w:pPr>
        <w:spacing w:line="360" w:lineRule="auto"/>
        <w:sectPr w:rsidR="00434520">
          <w:pgSz w:w="11910" w:h="16840"/>
          <w:pgMar w:top="1660" w:right="960" w:bottom="1420" w:left="980" w:header="692" w:footer="1222" w:gutter="0"/>
          <w:cols w:space="720"/>
        </w:sect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rPr>
          <w:sz w:val="20"/>
        </w:rPr>
      </w:pPr>
    </w:p>
    <w:p w:rsidR="00434520" w:rsidRDefault="008525EE">
      <w:pPr>
        <w:pStyle w:val="Heading2"/>
        <w:spacing w:before="159"/>
        <w:ind w:left="3477"/>
      </w:pPr>
      <w:r>
        <w:t>Programas de estágios</w:t>
      </w:r>
    </w:p>
    <w:p w:rsidR="00434520" w:rsidRDefault="008525EE">
      <w:pPr>
        <w:pStyle w:val="BodyText"/>
        <w:spacing w:before="194" w:line="360" w:lineRule="auto"/>
        <w:ind w:left="100" w:right="114"/>
        <w:jc w:val="both"/>
      </w:pPr>
      <w:r>
        <w:rPr>
          <w:b/>
        </w:rPr>
        <w:t xml:space="preserve">Estágio Curriculares: </w:t>
      </w:r>
      <w:r>
        <w:t xml:space="preserve">organizados pelas </w:t>
      </w:r>
      <w:r>
        <w:t>instituições de ensino e formação e fazem parte da avaliação de um curso. Geralmente não têm qualquer remuneração. Estes estágios são regulamentados e autorizados pelas instituições de ensino e formação.</w:t>
      </w:r>
    </w:p>
    <w:p w:rsidR="00434520" w:rsidRDefault="00434520">
      <w:pPr>
        <w:pStyle w:val="BodyText"/>
        <w:spacing w:before="11"/>
        <w:rPr>
          <w:sz w:val="32"/>
        </w:rPr>
      </w:pPr>
    </w:p>
    <w:p w:rsidR="00434520" w:rsidRDefault="008525EE">
      <w:pPr>
        <w:pStyle w:val="BodyText"/>
        <w:spacing w:line="360" w:lineRule="auto"/>
        <w:ind w:left="100" w:right="115"/>
        <w:jc w:val="both"/>
      </w:pPr>
      <w:r>
        <w:rPr>
          <w:b/>
        </w:rPr>
        <w:t xml:space="preserve">Estágios Extracurriculares: </w:t>
      </w:r>
      <w:r>
        <w:t>podem ser remunerados o</w:t>
      </w:r>
      <w:r>
        <w:t>u não remunerados consoante a sua duração, sendo organizados por iniciativa das empresas, dos jovens ou de outras instituições. Realizam-se após a conclusão de um curso/formação.</w:t>
      </w:r>
    </w:p>
    <w:p w:rsidR="00434520" w:rsidRDefault="008525EE">
      <w:pPr>
        <w:pStyle w:val="BodyText"/>
        <w:spacing w:before="2" w:line="360" w:lineRule="auto"/>
        <w:ind w:left="100" w:right="114"/>
        <w:jc w:val="both"/>
      </w:pPr>
      <w:r>
        <w:t>O contrato de estágio não pode ter duração superior a 12 meses, salvo estágio</w:t>
      </w:r>
      <w:r>
        <w:t xml:space="preserve"> obrigatório para aquisição de uma</w:t>
      </w:r>
      <w:r>
        <w:rPr>
          <w:spacing w:val="-14"/>
        </w:rPr>
        <w:t xml:space="preserve"> </w:t>
      </w:r>
      <w:r>
        <w:t>habilitação</w:t>
      </w:r>
      <w:r>
        <w:rPr>
          <w:spacing w:val="-13"/>
        </w:rPr>
        <w:t xml:space="preserve"> </w:t>
      </w:r>
      <w:r>
        <w:t>profissional</w:t>
      </w:r>
      <w:r>
        <w:rPr>
          <w:spacing w:val="-14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acesso</w:t>
      </w:r>
      <w:r>
        <w:rPr>
          <w:spacing w:val="-13"/>
        </w:rPr>
        <w:t xml:space="preserve"> </w:t>
      </w:r>
      <w:r>
        <w:t>ao</w:t>
      </w:r>
      <w:r>
        <w:rPr>
          <w:spacing w:val="-13"/>
        </w:rPr>
        <w:t xml:space="preserve"> </w:t>
      </w:r>
      <w:r>
        <w:t>exercício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determinada</w:t>
      </w:r>
      <w:r>
        <w:rPr>
          <w:spacing w:val="-14"/>
        </w:rPr>
        <w:t xml:space="preserve"> </w:t>
      </w:r>
      <w:r>
        <w:t>profissão,</w:t>
      </w:r>
      <w:r>
        <w:rPr>
          <w:spacing w:val="-16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pode</w:t>
      </w:r>
      <w:r>
        <w:rPr>
          <w:spacing w:val="-12"/>
        </w:rPr>
        <w:t xml:space="preserve"> </w:t>
      </w:r>
      <w:r>
        <w:t>ser</w:t>
      </w:r>
      <w:r>
        <w:rPr>
          <w:spacing w:val="-14"/>
        </w:rPr>
        <w:t xml:space="preserve"> </w:t>
      </w:r>
      <w:r>
        <w:t>prorrogado até ao limite máximo de 18</w:t>
      </w:r>
      <w:r>
        <w:rPr>
          <w:spacing w:val="-5"/>
        </w:rPr>
        <w:t xml:space="preserve"> </w:t>
      </w:r>
      <w:r>
        <w:t>meses.</w:t>
      </w:r>
    </w:p>
    <w:p w:rsidR="00434520" w:rsidRDefault="00434520">
      <w:pPr>
        <w:pStyle w:val="BodyText"/>
        <w:spacing w:before="11"/>
        <w:rPr>
          <w:sz w:val="32"/>
        </w:rPr>
      </w:pPr>
    </w:p>
    <w:p w:rsidR="00434520" w:rsidRDefault="008525EE">
      <w:pPr>
        <w:pStyle w:val="BodyText"/>
        <w:spacing w:line="360" w:lineRule="auto"/>
        <w:ind w:left="100" w:right="116"/>
        <w:jc w:val="both"/>
      </w:pPr>
      <w:r>
        <w:rPr>
          <w:b/>
        </w:rPr>
        <w:t xml:space="preserve">Estágios Profissionais Remunerados: </w:t>
      </w:r>
      <w:r>
        <w:t xml:space="preserve">financiados por fundos comunitários, geridos por instituições públicas, tendo uma regulamentação específica. Estes programas são: Medida Estágios Profissionais promovido pelo IEFP-Instituto de Emprego e Formação Profissional ou pelo Aicep Portugal Global, </w:t>
      </w:r>
      <w:r>
        <w:t>E.P.E., Agência para o Investimento e Comércio Externo de Portugal.</w:t>
      </w:r>
    </w:p>
    <w:p w:rsidR="00434520" w:rsidRDefault="008525EE">
      <w:pPr>
        <w:pStyle w:val="BodyText"/>
        <w:spacing w:before="2"/>
        <w:ind w:left="100"/>
        <w:jc w:val="both"/>
      </w:pPr>
      <w:r>
        <w:t>Estágios com a duração de 9 meses</w:t>
      </w:r>
    </w:p>
    <w:p w:rsidR="00434520" w:rsidRDefault="00434520">
      <w:pPr>
        <w:pStyle w:val="BodyText"/>
      </w:pPr>
    </w:p>
    <w:p w:rsidR="00434520" w:rsidRDefault="00434520">
      <w:pPr>
        <w:pStyle w:val="BodyText"/>
        <w:spacing w:before="11"/>
        <w:rPr>
          <w:sz w:val="21"/>
        </w:rPr>
      </w:pPr>
    </w:p>
    <w:p w:rsidR="00434520" w:rsidRDefault="008525EE">
      <w:pPr>
        <w:ind w:left="100"/>
        <w:jc w:val="both"/>
        <w:rPr>
          <w:b/>
        </w:rPr>
      </w:pPr>
      <w:r>
        <w:rPr>
          <w:b/>
        </w:rPr>
        <w:t>Estágios não financiados</w:t>
      </w:r>
    </w:p>
    <w:p w:rsidR="00434520" w:rsidRDefault="008525EE">
      <w:pPr>
        <w:pStyle w:val="BodyText"/>
        <w:spacing w:before="134" w:line="360" w:lineRule="auto"/>
        <w:ind w:left="100" w:right="118"/>
        <w:jc w:val="both"/>
      </w:pPr>
      <w:r>
        <w:t>Uma entidade empregadora pode sempre organizar e promover estágios profissionais, sem financiamento público.</w:t>
      </w:r>
    </w:p>
    <w:p w:rsidR="00434520" w:rsidRDefault="008525EE">
      <w:pPr>
        <w:pStyle w:val="BodyText"/>
        <w:spacing w:before="1" w:line="360" w:lineRule="auto"/>
        <w:ind w:left="100" w:right="113"/>
        <w:jc w:val="both"/>
      </w:pPr>
      <w:r>
        <w:t>Contudo, há um conjunto de regras a que deve obedecer a realização de estágios profissionais, que incidem, nomeadamente,</w:t>
      </w:r>
      <w:r>
        <w:rPr>
          <w:spacing w:val="-4"/>
        </w:rPr>
        <w:t xml:space="preserve"> </w:t>
      </w:r>
      <w:r>
        <w:t>sobre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duração</w:t>
      </w:r>
      <w:r>
        <w:rPr>
          <w:spacing w:val="-14"/>
        </w:rPr>
        <w:t xml:space="preserve"> </w:t>
      </w:r>
      <w:r>
        <w:t>máxima</w:t>
      </w:r>
      <w:r>
        <w:rPr>
          <w:spacing w:val="-13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t>estágios,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celebração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estágio,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regime</w:t>
      </w:r>
      <w:r>
        <w:rPr>
          <w:spacing w:val="-12"/>
        </w:rPr>
        <w:t xml:space="preserve"> </w:t>
      </w:r>
      <w:r>
        <w:t>aplicável em matéria de horário diário e semanal, faltas, segurança e saúde no trabalho e contribuições para a segurança social, a designação de orientador de estágio, o pagamento de subsídio de está</w:t>
      </w:r>
      <w:r>
        <w:t>gio, refeição e seguro, e condições de suspensão ou cessação do contrato de</w:t>
      </w:r>
      <w:r>
        <w:rPr>
          <w:spacing w:val="-8"/>
        </w:rPr>
        <w:t xml:space="preserve"> </w:t>
      </w:r>
      <w:r>
        <w:t>estágio.</w:t>
      </w:r>
    </w:p>
    <w:p w:rsidR="00434520" w:rsidRDefault="008525EE">
      <w:pPr>
        <w:pStyle w:val="BodyText"/>
        <w:spacing w:line="268" w:lineRule="exact"/>
        <w:ind w:left="100"/>
        <w:jc w:val="both"/>
      </w:pPr>
      <w:r>
        <w:t xml:space="preserve">Mais informações: </w:t>
      </w:r>
      <w:hyperlink r:id="rId18">
        <w:r>
          <w:t>Decreto-Lei n.º 66/2011, de 1 de junho</w:t>
        </w:r>
      </w:hyperlink>
    </w:p>
    <w:p w:rsidR="00434520" w:rsidRDefault="00434520">
      <w:pPr>
        <w:pStyle w:val="BodyText"/>
      </w:pPr>
    </w:p>
    <w:p w:rsidR="00434520" w:rsidRDefault="00434520">
      <w:pPr>
        <w:pStyle w:val="BodyText"/>
        <w:spacing w:before="1"/>
      </w:pPr>
    </w:p>
    <w:p w:rsidR="00434520" w:rsidRDefault="008525EE">
      <w:pPr>
        <w:pStyle w:val="BodyText"/>
        <w:spacing w:line="360" w:lineRule="auto"/>
        <w:ind w:left="100" w:right="120"/>
        <w:jc w:val="both"/>
      </w:pPr>
      <w:r>
        <w:rPr>
          <w:b/>
        </w:rPr>
        <w:t xml:space="preserve">Estágios Erasmus +: </w:t>
      </w:r>
      <w:r>
        <w:t>estágios e intercâmb</w:t>
      </w:r>
      <w:r>
        <w:t>ios na área da Educação, Formação, Juventude e Desporto, que irá decorrer entre 2014-2020. Estes estágios têm uma bolsa para despesas.</w:t>
      </w:r>
    </w:p>
    <w:p w:rsidR="00434520" w:rsidRDefault="00434520">
      <w:pPr>
        <w:spacing w:line="360" w:lineRule="auto"/>
        <w:jc w:val="both"/>
        <w:sectPr w:rsidR="00434520">
          <w:pgSz w:w="11910" w:h="16840"/>
          <w:pgMar w:top="1660" w:right="960" w:bottom="1420" w:left="980" w:header="692" w:footer="1222" w:gutter="0"/>
          <w:cols w:space="720"/>
        </w:sect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spacing w:before="4"/>
        <w:rPr>
          <w:sz w:val="28"/>
        </w:rPr>
      </w:pPr>
    </w:p>
    <w:p w:rsidR="00434520" w:rsidRDefault="008525EE">
      <w:pPr>
        <w:spacing w:before="56" w:line="360" w:lineRule="auto"/>
        <w:ind w:left="100" w:right="199"/>
      </w:pPr>
      <w:r>
        <w:rPr>
          <w:b/>
        </w:rPr>
        <w:t xml:space="preserve">Programas de Estágios Nacionais de Outras Organizações: </w:t>
      </w:r>
      <w:r>
        <w:t>poderão ser financiados pelo IEFP ou pelas próprias entidades.</w:t>
      </w:r>
    </w:p>
    <w:p w:rsidR="00434520" w:rsidRDefault="00434520">
      <w:pPr>
        <w:spacing w:line="360" w:lineRule="auto"/>
        <w:sectPr w:rsidR="00434520">
          <w:pgSz w:w="11910" w:h="16840"/>
          <w:pgMar w:top="1660" w:right="960" w:bottom="1420" w:left="980" w:header="692" w:footer="1222" w:gutter="0"/>
          <w:cols w:space="720"/>
        </w:sectPr>
      </w:pPr>
    </w:p>
    <w:p w:rsidR="00434520" w:rsidRDefault="00434520">
      <w:pPr>
        <w:pStyle w:val="BodyText"/>
        <w:rPr>
          <w:sz w:val="20"/>
        </w:rPr>
      </w:pPr>
    </w:p>
    <w:p w:rsidR="00434520" w:rsidRDefault="00434520">
      <w:pPr>
        <w:pStyle w:val="BodyText"/>
        <w:spacing w:before="5"/>
        <w:rPr>
          <w:sz w:val="19"/>
        </w:rPr>
      </w:pPr>
    </w:p>
    <w:p w:rsidR="00434520" w:rsidRDefault="008525EE">
      <w:pPr>
        <w:pStyle w:val="Heading2"/>
        <w:ind w:left="2507"/>
      </w:pPr>
      <w:r>
        <w:t>Programas de aprendizagem/estágios - Formação com PCT integrado</w:t>
      </w:r>
    </w:p>
    <w:p w:rsidR="00434520" w:rsidRDefault="00434520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1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3207"/>
        <w:gridCol w:w="3625"/>
        <w:gridCol w:w="1611"/>
        <w:gridCol w:w="1342"/>
        <w:gridCol w:w="4487"/>
      </w:tblGrid>
      <w:tr w:rsidR="00434520">
        <w:trPr>
          <w:trHeight w:val="805"/>
        </w:trPr>
        <w:tc>
          <w:tcPr>
            <w:tcW w:w="3536" w:type="dxa"/>
            <w:gridSpan w:val="2"/>
            <w:shd w:val="clear" w:color="auto" w:fill="F7C9AC"/>
          </w:tcPr>
          <w:p w:rsidR="00434520" w:rsidRDefault="008525EE">
            <w:pPr>
              <w:pStyle w:val="TableParagraph"/>
              <w:ind w:left="107" w:right="97"/>
              <w:jc w:val="center"/>
              <w:rPr>
                <w:b/>
              </w:rPr>
            </w:pPr>
            <w:r>
              <w:rPr>
                <w:b/>
              </w:rPr>
              <w:t>Oferta educativa (escolas, entidades de formação, ce</w:t>
            </w:r>
            <w:r>
              <w:rPr>
                <w:b/>
              </w:rPr>
              <w:t>ntros tecnológicos,</w:t>
            </w:r>
          </w:p>
          <w:p w:rsidR="00434520" w:rsidRDefault="008525EE">
            <w:pPr>
              <w:pStyle w:val="TableParagraph"/>
              <w:spacing w:line="249" w:lineRule="exact"/>
              <w:ind w:left="104" w:right="97"/>
              <w:jc w:val="center"/>
              <w:rPr>
                <w:b/>
              </w:rPr>
            </w:pPr>
            <w:r>
              <w:rPr>
                <w:b/>
              </w:rPr>
              <w:t>politécnicos, universidades…)</w:t>
            </w:r>
          </w:p>
        </w:tc>
        <w:tc>
          <w:tcPr>
            <w:tcW w:w="3625" w:type="dxa"/>
            <w:shd w:val="clear" w:color="auto" w:fill="F7C9AC"/>
          </w:tcPr>
          <w:p w:rsidR="00434520" w:rsidRDefault="008525EE">
            <w:pPr>
              <w:pStyle w:val="TableParagraph"/>
              <w:spacing w:line="268" w:lineRule="exact"/>
              <w:ind w:left="496"/>
              <w:rPr>
                <w:b/>
              </w:rPr>
            </w:pPr>
            <w:r>
              <w:rPr>
                <w:b/>
              </w:rPr>
              <w:t>Resultados de aprendizagem</w:t>
            </w:r>
          </w:p>
        </w:tc>
        <w:tc>
          <w:tcPr>
            <w:tcW w:w="1611" w:type="dxa"/>
            <w:shd w:val="clear" w:color="auto" w:fill="F7C9AC"/>
          </w:tcPr>
          <w:p w:rsidR="00434520" w:rsidRDefault="008525EE">
            <w:pPr>
              <w:pStyle w:val="TableParagraph"/>
              <w:spacing w:line="268" w:lineRule="exact"/>
              <w:ind w:left="301" w:right="295"/>
              <w:jc w:val="center"/>
              <w:rPr>
                <w:b/>
              </w:rPr>
            </w:pPr>
            <w:r>
              <w:rPr>
                <w:b/>
              </w:rPr>
              <w:t>Nível QNQ</w:t>
            </w:r>
          </w:p>
        </w:tc>
        <w:tc>
          <w:tcPr>
            <w:tcW w:w="1342" w:type="dxa"/>
            <w:shd w:val="clear" w:color="auto" w:fill="F7C9AC"/>
          </w:tcPr>
          <w:p w:rsidR="00434520" w:rsidRDefault="008525EE">
            <w:pPr>
              <w:pStyle w:val="TableParagraph"/>
              <w:spacing w:line="268" w:lineRule="exact"/>
              <w:ind w:left="212" w:right="153"/>
              <w:jc w:val="center"/>
              <w:rPr>
                <w:b/>
              </w:rPr>
            </w:pPr>
            <w:r>
              <w:rPr>
                <w:b/>
              </w:rPr>
              <w:t>Nível QEQ</w:t>
            </w:r>
          </w:p>
        </w:tc>
        <w:tc>
          <w:tcPr>
            <w:tcW w:w="4487" w:type="dxa"/>
            <w:shd w:val="clear" w:color="auto" w:fill="F7C9AC"/>
          </w:tcPr>
          <w:p w:rsidR="00434520" w:rsidRDefault="008525EE">
            <w:pPr>
              <w:pStyle w:val="TableParagraph"/>
              <w:spacing w:line="268" w:lineRule="exact"/>
              <w:ind w:left="1051"/>
              <w:rPr>
                <w:b/>
              </w:rPr>
            </w:pPr>
            <w:r>
              <w:rPr>
                <w:b/>
              </w:rPr>
              <w:t>url para mais informações</w:t>
            </w:r>
          </w:p>
        </w:tc>
      </w:tr>
      <w:tr w:rsidR="00434520">
        <w:trPr>
          <w:trHeight w:val="275"/>
        </w:trPr>
        <w:tc>
          <w:tcPr>
            <w:tcW w:w="329" w:type="dxa"/>
            <w:tcBorders>
              <w:bottom w:val="nil"/>
            </w:tcBorders>
          </w:tcPr>
          <w:p w:rsidR="00434520" w:rsidRDefault="008525EE">
            <w:pPr>
              <w:pStyle w:val="TableParagraph"/>
              <w:spacing w:line="255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1</w:t>
            </w:r>
          </w:p>
        </w:tc>
        <w:tc>
          <w:tcPr>
            <w:tcW w:w="3207" w:type="dxa"/>
            <w:tcBorders>
              <w:bottom w:val="nil"/>
            </w:tcBorders>
          </w:tcPr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Escolas e Centros de Formação:</w:t>
            </w:r>
          </w:p>
        </w:tc>
        <w:tc>
          <w:tcPr>
            <w:tcW w:w="3625" w:type="dxa"/>
            <w:tcBorders>
              <w:bottom w:val="nil"/>
            </w:tcBorders>
          </w:tcPr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Dependendo da área de formação, os</w:t>
            </w:r>
          </w:p>
        </w:tc>
        <w:tc>
          <w:tcPr>
            <w:tcW w:w="1611" w:type="dxa"/>
            <w:tcBorders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  <w:tcBorders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87" w:type="dxa"/>
            <w:tcBorders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520">
        <w:trPr>
          <w:trHeight w:val="232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existem 9 diferentes qualificações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resultados de aprendizagem com base no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488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para as áreas de formação básico</w:t>
            </w:r>
          </w:p>
          <w:p w:rsidR="00434520" w:rsidRDefault="008525EE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e/ou profissional no sector têxtil: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tabs>
                <w:tab w:val="left" w:pos="1924"/>
                <w:tab w:val="left" w:pos="2541"/>
              </w:tabs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desenvolvimento</w:t>
            </w:r>
            <w:r>
              <w:rPr>
                <w:sz w:val="20"/>
              </w:rPr>
              <w:tab/>
              <w:t>da</w:t>
            </w:r>
            <w:r>
              <w:rPr>
                <w:sz w:val="20"/>
              </w:rPr>
              <w:tab/>
              <w:t>qualificação</w:t>
            </w:r>
          </w:p>
          <w:p w:rsidR="00434520" w:rsidRDefault="008525EE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profissional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área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têxtil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(por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exemplo,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before="29"/>
              <w:ind w:left="106"/>
              <w:rPr>
                <w:rFonts w:ascii="Calibri Light"/>
              </w:rPr>
            </w:pPr>
            <w:hyperlink r:id="rId19">
              <w:r>
                <w:rPr>
                  <w:rFonts w:ascii="Calibri Light"/>
                  <w:color w:val="0000FF"/>
                  <w:u w:val="single" w:color="0000FF"/>
                </w:rPr>
                <w:t>http://www.catalogo.anqep.gov.pt/</w:t>
              </w:r>
            </w:hyperlink>
          </w:p>
        </w:tc>
      </w:tr>
      <w:tr w:rsidR="00434520">
        <w:trPr>
          <w:trHeight w:val="243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- Costureiro/a Industrial de Malhas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tabs>
                <w:tab w:val="left" w:pos="948"/>
                <w:tab w:val="left" w:pos="1984"/>
                <w:tab w:val="left" w:pos="3303"/>
              </w:tabs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Executa</w:t>
            </w:r>
            <w:r>
              <w:rPr>
                <w:sz w:val="20"/>
              </w:rPr>
              <w:tab/>
              <w:t>diferentes</w:t>
            </w:r>
            <w:r>
              <w:rPr>
                <w:sz w:val="20"/>
              </w:rPr>
              <w:tab/>
              <w:t>componentes</w:t>
            </w:r>
            <w:r>
              <w:rPr>
                <w:sz w:val="20"/>
              </w:rPr>
              <w:tab/>
              <w:t>de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243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- Costureiro/a Industrial de Tecidos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vestuário de malha tricotada em tear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244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- Costureiro/a Modista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circular)</w:t>
            </w: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244"/>
        </w:trPr>
        <w:tc>
          <w:tcPr>
            <w:tcW w:w="329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  <w:bottom w:val="nil"/>
            </w:tcBorders>
          </w:tcPr>
          <w:p w:rsidR="00434520" w:rsidRDefault="008525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- Operador/a de Fiação</w:t>
            </w:r>
          </w:p>
        </w:tc>
        <w:tc>
          <w:tcPr>
            <w:tcW w:w="3625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1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  <w:bottom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224"/>
        </w:trPr>
        <w:tc>
          <w:tcPr>
            <w:tcW w:w="329" w:type="dxa"/>
            <w:tcBorders>
              <w:top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7" w:type="dxa"/>
            <w:tcBorders>
              <w:top w:val="nil"/>
            </w:tcBorders>
          </w:tcPr>
          <w:p w:rsidR="00434520" w:rsidRDefault="008525EE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3625" w:type="dxa"/>
            <w:tcBorders>
              <w:top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1" w:type="dxa"/>
            <w:tcBorders>
              <w:top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2" w:type="dxa"/>
            <w:tcBorders>
              <w:top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87" w:type="dxa"/>
            <w:tcBorders>
              <w:top w:val="nil"/>
            </w:tcBorders>
          </w:tcPr>
          <w:p w:rsidR="00434520" w:rsidRDefault="004345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34520">
        <w:trPr>
          <w:trHeight w:val="4882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2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tabs>
                <w:tab w:val="left" w:pos="788"/>
                <w:tab w:val="left" w:pos="1239"/>
                <w:tab w:val="left" w:pos="2258"/>
                <w:tab w:val="left" w:pos="2711"/>
              </w:tabs>
              <w:spacing w:before="1"/>
              <w:ind w:left="107" w:right="96"/>
              <w:rPr>
                <w:sz w:val="20"/>
              </w:rPr>
            </w:pPr>
            <w:r>
              <w:rPr>
                <w:sz w:val="20"/>
              </w:rPr>
              <w:t>Escolas e Centros de Formação: existem 12 qualificações para as áreas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  <w:t>formação</w:t>
            </w:r>
            <w:r>
              <w:rPr>
                <w:sz w:val="20"/>
              </w:rPr>
              <w:tab/>
              <w:t>de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nível </w:t>
            </w:r>
            <w:r>
              <w:rPr>
                <w:sz w:val="20"/>
              </w:rPr>
              <w:t>secundário e/ou profissional no sector têxtil, tais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como: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line="24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Alfaiate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before="1"/>
              <w:ind w:firstLine="0"/>
              <w:rPr>
                <w:sz w:val="20"/>
              </w:rPr>
            </w:pPr>
            <w:r>
              <w:rPr>
                <w:sz w:val="20"/>
              </w:rPr>
              <w:t>Técnico/a de Desenho 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Vestuário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line="24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Técnico/a de Design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Moda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line="24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Técnico/a de Enobrecimento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Têxtil</w:t>
            </w:r>
          </w:p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- …</w:t>
            </w:r>
          </w:p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 oferta formativa enquadra-se em: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line="24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Cursos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Aprendizagem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Cursos de Educação e Formação de Adultos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(EFA)</w:t>
            </w:r>
          </w:p>
          <w:p w:rsidR="00434520" w:rsidRDefault="008525EE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spacing w:before="1"/>
              <w:ind w:left="213" w:hanging="106"/>
              <w:rPr>
                <w:sz w:val="20"/>
              </w:rPr>
            </w:pPr>
            <w:r>
              <w:rPr>
                <w:sz w:val="20"/>
              </w:rPr>
              <w:t>Cursos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Resultados de aprendizagem baseados no desenvolvimento da qualificação profissional na área têxtil (por exemplo, confecionar o protótipo ou a peça final da saia de senhora e criança).</w:t>
            </w:r>
          </w:p>
          <w:p w:rsidR="00434520" w:rsidRDefault="00434520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434520" w:rsidRDefault="008525E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Cursos de Aprendizagem:</w:t>
            </w:r>
          </w:p>
          <w:p w:rsidR="00434520" w:rsidRDefault="008525EE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Prática em contexto de trabalho (1100h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1500h).</w:t>
            </w:r>
          </w:p>
          <w:p w:rsidR="00434520" w:rsidRDefault="008525E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hyperlink r:id="rId20">
              <w:r>
                <w:rPr>
                  <w:sz w:val="20"/>
                </w:rPr>
                <w:t>Portaria n.º 1497/2008, de 19 de</w:t>
              </w:r>
            </w:hyperlink>
            <w:r>
              <w:rPr>
                <w:sz w:val="20"/>
              </w:rPr>
              <w:t xml:space="preserve"> </w:t>
            </w:r>
            <w:hyperlink r:id="rId21">
              <w:r>
                <w:rPr>
                  <w:sz w:val="20"/>
                </w:rPr>
                <w:t>dezembro</w:t>
              </w:r>
            </w:hyperlink>
          </w:p>
          <w:p w:rsidR="00434520" w:rsidRDefault="008525EE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Cur</w:t>
            </w:r>
            <w:r>
              <w:rPr>
                <w:sz w:val="20"/>
              </w:rPr>
              <w:t>sos EFA:</w:t>
            </w:r>
          </w:p>
          <w:p w:rsidR="00434520" w:rsidRDefault="008525EE">
            <w:pPr>
              <w:pStyle w:val="TableParagraph"/>
              <w:numPr>
                <w:ilvl w:val="0"/>
                <w:numId w:val="5"/>
              </w:numPr>
              <w:tabs>
                <w:tab w:val="left" w:pos="213"/>
              </w:tabs>
              <w:spacing w:line="243" w:lineRule="exact"/>
              <w:ind w:left="213" w:hanging="106"/>
              <w:rPr>
                <w:sz w:val="20"/>
              </w:rPr>
            </w:pPr>
            <w:r>
              <w:rPr>
                <w:sz w:val="20"/>
              </w:rPr>
              <w:t>Idade superior a 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anos</w:t>
            </w:r>
          </w:p>
          <w:p w:rsidR="00434520" w:rsidRDefault="008525EE">
            <w:pPr>
              <w:pStyle w:val="TableParagraph"/>
              <w:numPr>
                <w:ilvl w:val="0"/>
                <w:numId w:val="5"/>
              </w:numPr>
              <w:tabs>
                <w:tab w:val="left" w:pos="213"/>
              </w:tabs>
              <w:ind w:left="213" w:hanging="106"/>
              <w:rPr>
                <w:sz w:val="20"/>
              </w:rPr>
            </w:pPr>
            <w:r>
              <w:rPr>
                <w:sz w:val="20"/>
              </w:rPr>
              <w:t>Certificação desde o B1 ao S3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(A,B,C)</w:t>
            </w:r>
          </w:p>
          <w:p w:rsidR="00434520" w:rsidRDefault="008525EE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spacing w:before="1"/>
              <w:ind w:right="99" w:firstLine="0"/>
              <w:rPr>
                <w:sz w:val="20"/>
              </w:rPr>
            </w:pPr>
            <w:r>
              <w:rPr>
                <w:sz w:val="20"/>
              </w:rPr>
              <w:t>EFA B1|B2|B3 – pelo menos 120h de Prática em contexto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</w:p>
          <w:p w:rsidR="00434520" w:rsidRDefault="008525EE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EFA S – 210h de Prática em contexto de trabalho</w:t>
            </w:r>
          </w:p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Cursos Profissionais: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34520" w:rsidRDefault="008525EE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8525EE">
            <w:pPr>
              <w:pStyle w:val="TableParagraph"/>
              <w:spacing w:before="1"/>
              <w:ind w:left="301" w:right="294"/>
              <w:jc w:val="center"/>
              <w:rPr>
                <w:sz w:val="20"/>
              </w:rPr>
            </w:pPr>
            <w:r>
              <w:rPr>
                <w:sz w:val="20"/>
              </w:rPr>
              <w:t>Cursos EFA: 1 a 4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34520" w:rsidRDefault="008525EE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rPr>
                <w:b/>
                <w:sz w:val="20"/>
              </w:rPr>
            </w:pPr>
          </w:p>
          <w:p w:rsidR="00434520" w:rsidRDefault="0043452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34520" w:rsidRDefault="008525EE">
            <w:pPr>
              <w:pStyle w:val="TableParagraph"/>
              <w:ind w:left="157" w:right="153"/>
              <w:jc w:val="center"/>
              <w:rPr>
                <w:sz w:val="20"/>
              </w:rPr>
            </w:pPr>
            <w:r>
              <w:rPr>
                <w:sz w:val="20"/>
              </w:rPr>
              <w:t>1 a 4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34520" w:rsidRDefault="008525EE">
            <w:pPr>
              <w:pStyle w:val="TableParagraph"/>
              <w:ind w:left="106"/>
              <w:rPr>
                <w:rFonts w:ascii="Calibri Light"/>
              </w:rPr>
            </w:pPr>
            <w:hyperlink r:id="rId22">
              <w:r>
                <w:rPr>
                  <w:rFonts w:ascii="Calibri Light"/>
                  <w:color w:val="0000FF"/>
                  <w:u w:val="single" w:color="0000FF"/>
                </w:rPr>
                <w:t>http://www.catalogo.anqep.gov.pt/</w:t>
              </w:r>
            </w:hyperlink>
          </w:p>
        </w:tc>
      </w:tr>
    </w:tbl>
    <w:p w:rsidR="00434520" w:rsidRDefault="00434520">
      <w:pPr>
        <w:rPr>
          <w:rFonts w:ascii="Calibri Light"/>
        </w:rPr>
        <w:sectPr w:rsidR="00434520">
          <w:headerReference w:type="default" r:id="rId23"/>
          <w:footerReference w:type="default" r:id="rId24"/>
          <w:pgSz w:w="16840" w:h="11910" w:orient="landscape"/>
          <w:pgMar w:top="1400" w:right="680" w:bottom="1340" w:left="1340" w:header="692" w:footer="1142" w:gutter="0"/>
          <w:cols w:space="720"/>
        </w:sectPr>
      </w:pPr>
    </w:p>
    <w:p w:rsidR="00434520" w:rsidRDefault="00434520">
      <w:pPr>
        <w:pStyle w:val="BodyText"/>
        <w:spacing w:before="9"/>
        <w:rPr>
          <w:rFonts w:ascii="Times New Roman"/>
          <w:sz w:val="9"/>
        </w:rPr>
      </w:pPr>
    </w:p>
    <w:tbl>
      <w:tblPr>
        <w:tblW w:w="0" w:type="auto"/>
        <w:tblInd w:w="11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3207"/>
        <w:gridCol w:w="3625"/>
        <w:gridCol w:w="1611"/>
        <w:gridCol w:w="1342"/>
        <w:gridCol w:w="4487"/>
      </w:tblGrid>
      <w:tr w:rsidR="00434520">
        <w:trPr>
          <w:trHeight w:val="1953"/>
        </w:trPr>
        <w:tc>
          <w:tcPr>
            <w:tcW w:w="329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7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spacing w:before="1"/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permite o prosseguimento de estudos/formação num Curso de Especialização Tecnológica ou o acesso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ao ensino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superior,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mediante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cumprimento dos requisitos previstos no regulamento de acesso ao ensino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superior.</w:t>
            </w:r>
          </w:p>
          <w:p w:rsidR="00434520" w:rsidRDefault="008525EE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line="243" w:lineRule="exact"/>
              <w:ind w:left="333" w:hanging="226"/>
              <w:jc w:val="both"/>
              <w:rPr>
                <w:sz w:val="20"/>
              </w:rPr>
            </w:pPr>
            <w:r>
              <w:rPr>
                <w:sz w:val="20"/>
              </w:rPr>
              <w:t>600h de Prática em contexto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434520" w:rsidRDefault="008525EE">
            <w:pPr>
              <w:pStyle w:val="TableParagraph"/>
              <w:spacing w:before="1"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Trabalho.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spacing w:before="1"/>
              <w:ind w:left="294" w:right="288" w:firstLine="4"/>
              <w:jc w:val="center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z w:val="20"/>
              </w:rPr>
              <w:t xml:space="preserve">rsos </w:t>
            </w:r>
            <w:r>
              <w:rPr>
                <w:w w:val="95"/>
                <w:sz w:val="20"/>
              </w:rPr>
              <w:t xml:space="preserve">Profissionais </w:t>
            </w:r>
            <w:r>
              <w:rPr>
                <w:sz w:val="20"/>
              </w:rPr>
              <w:t>4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434520" w:rsidRDefault="008525E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520">
        <w:trPr>
          <w:trHeight w:val="4884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3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tabs>
                <w:tab w:val="left" w:pos="1897"/>
              </w:tabs>
              <w:spacing w:before="1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Centros de formação profissional; Centros Tecnológicos; Institutos Politécnicos;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Universidades: </w:t>
            </w:r>
            <w:r>
              <w:rPr>
                <w:sz w:val="20"/>
              </w:rPr>
              <w:t>promovem:</w:t>
            </w:r>
          </w:p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Cursos de Especialização Tecnológica</w:t>
            </w:r>
          </w:p>
          <w:p w:rsidR="00434520" w:rsidRDefault="008525EE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before="1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cursos pós-secundários não superiores que preparam os alunos para uma especialização científica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ou tecnológica, tais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como:</w:t>
            </w:r>
          </w:p>
          <w:p w:rsidR="00434520" w:rsidRDefault="008525EE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right="96" w:firstLine="46"/>
              <w:jc w:val="both"/>
              <w:rPr>
                <w:sz w:val="20"/>
              </w:rPr>
            </w:pPr>
            <w:r>
              <w:rPr>
                <w:sz w:val="20"/>
              </w:rPr>
              <w:t>Técnico|Especialista em Processos de Coloração e Acabamentos Têxteis;</w:t>
            </w:r>
          </w:p>
          <w:p w:rsidR="00434520" w:rsidRDefault="008525EE">
            <w:pPr>
              <w:pStyle w:val="TableParagraph"/>
              <w:tabs>
                <w:tab w:val="left" w:pos="2840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-Técnico|Especialista</w:t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em </w:t>
            </w:r>
            <w:r>
              <w:rPr>
                <w:sz w:val="20"/>
              </w:rPr>
              <w:t>Industrialização de Produto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Moda;</w:t>
            </w:r>
          </w:p>
          <w:p w:rsidR="00434520" w:rsidRDefault="008525EE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Técn</w:t>
            </w:r>
            <w:r>
              <w:rPr>
                <w:sz w:val="20"/>
              </w:rPr>
              <w:t>ico|Especialista em Têxteis Técnicos 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Funcionais;</w:t>
            </w:r>
          </w:p>
          <w:p w:rsidR="00434520" w:rsidRDefault="008525EE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Técnico|Especialista em Comércio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Moda;</w:t>
            </w:r>
          </w:p>
          <w:p w:rsidR="00434520" w:rsidRDefault="008525EE">
            <w:pPr>
              <w:pStyle w:val="TableParagraph"/>
              <w:spacing w:line="24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- …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Com um diploma de especialização tecnológica pode-se concorrer à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matrícula e inscrição no ensino superior, através de concurso especial. A formação realizada nos CET é creditada no âmbito do curso superior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admitido.</w:t>
            </w:r>
          </w:p>
          <w:p w:rsidR="00434520" w:rsidRDefault="008525EE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360h -720h de Prática em contexto de trabalho.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75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rPr>
                <w:rFonts w:ascii="Times New Roman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</w:rPr>
            </w:pPr>
          </w:p>
          <w:p w:rsidR="00434520" w:rsidRDefault="00434520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434520" w:rsidRDefault="008525EE">
            <w:pPr>
              <w:pStyle w:val="TableParagraph"/>
              <w:ind w:left="106" w:right="136"/>
            </w:pPr>
            <w:hyperlink r:id="rId25">
              <w:r>
                <w:rPr>
                  <w:color w:val="0000FF"/>
                  <w:u w:val="single" w:color="0000FF"/>
                </w:rPr>
                <w:t>https://www.dges.gov.pt/pt/pagina/cursos-de-</w:t>
              </w:r>
            </w:hyperlink>
            <w:r>
              <w:rPr>
                <w:color w:val="0000FF"/>
              </w:rPr>
              <w:t xml:space="preserve"> </w:t>
            </w:r>
            <w:hyperlink r:id="rId26">
              <w:r>
                <w:rPr>
                  <w:color w:val="0000FF"/>
                  <w:u w:val="single" w:color="0000FF"/>
                </w:rPr>
                <w:t>especializacao-tecnologic</w:t>
              </w:r>
              <w:r>
                <w:rPr>
                  <w:color w:val="0000FF"/>
                  <w:u w:val="single" w:color="0000FF"/>
                </w:rPr>
                <w:t>a-cet</w:t>
              </w:r>
            </w:hyperlink>
          </w:p>
        </w:tc>
      </w:tr>
      <w:tr w:rsidR="00434520">
        <w:trPr>
          <w:trHeight w:val="1464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4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tabs>
                <w:tab w:val="left" w:pos="1450"/>
                <w:tab w:val="left" w:pos="2999"/>
              </w:tabs>
              <w:spacing w:before="1"/>
              <w:ind w:left="107" w:right="95"/>
              <w:rPr>
                <w:sz w:val="20"/>
              </w:rPr>
            </w:pPr>
            <w:r>
              <w:rPr>
                <w:sz w:val="20"/>
              </w:rPr>
              <w:t>Institutos</w:t>
            </w:r>
            <w:r>
              <w:rPr>
                <w:sz w:val="20"/>
              </w:rPr>
              <w:tab/>
              <w:t>Politécnicos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e </w:t>
            </w:r>
            <w:r>
              <w:rPr>
                <w:sz w:val="20"/>
              </w:rPr>
              <w:t>Universidades:</w:t>
            </w:r>
          </w:p>
          <w:p w:rsidR="00434520" w:rsidRDefault="008525EE">
            <w:pPr>
              <w:pStyle w:val="TableParagraph"/>
              <w:tabs>
                <w:tab w:val="left" w:pos="1088"/>
                <w:tab w:val="left" w:pos="2226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Cursos</w:t>
            </w:r>
            <w:r>
              <w:rPr>
                <w:sz w:val="20"/>
              </w:rPr>
              <w:tab/>
              <w:t>Técnicos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Superiores </w:t>
            </w:r>
            <w:r>
              <w:rPr>
                <w:sz w:val="20"/>
              </w:rPr>
              <w:t>Profissionais</w:t>
            </w:r>
          </w:p>
          <w:p w:rsidR="00434520" w:rsidRDefault="008525EE">
            <w:pPr>
              <w:pStyle w:val="TableParagraph"/>
              <w:spacing w:before="1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- Design de Moda;</w:t>
            </w:r>
          </w:p>
          <w:p w:rsidR="00434520" w:rsidRDefault="008525EE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- …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Prática em contexto de trabalho não inferior a 1 semestre</w:t>
            </w:r>
          </w:p>
          <w:p w:rsidR="00434520" w:rsidRDefault="008525EE">
            <w:pPr>
              <w:pStyle w:val="TableParagraph"/>
              <w:ind w:left="107"/>
              <w:rPr>
                <w:sz w:val="20"/>
              </w:rPr>
            </w:pPr>
            <w:hyperlink r:id="rId27">
              <w:r>
                <w:rPr>
                  <w:sz w:val="20"/>
                </w:rPr>
                <w:t>Decreto-Lei n.º 63/2016, de 13 de</w:t>
              </w:r>
            </w:hyperlink>
            <w:r>
              <w:rPr>
                <w:sz w:val="20"/>
              </w:rPr>
              <w:t xml:space="preserve"> </w:t>
            </w:r>
            <w:hyperlink r:id="rId28">
              <w:r>
                <w:rPr>
                  <w:sz w:val="20"/>
                </w:rPr>
                <w:t>setembro</w:t>
              </w:r>
            </w:hyperlink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434520" w:rsidRDefault="008525EE">
            <w:pPr>
              <w:pStyle w:val="TableParagraph"/>
              <w:ind w:left="75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434520" w:rsidRDefault="008525E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rPr>
                <w:rFonts w:ascii="Times New Roman"/>
              </w:rPr>
            </w:pPr>
          </w:p>
          <w:p w:rsidR="00434520" w:rsidRDefault="00434520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:rsidR="00434520" w:rsidRDefault="008525EE">
            <w:pPr>
              <w:pStyle w:val="TableParagraph"/>
              <w:ind w:left="106" w:right="506"/>
              <w:rPr>
                <w:rFonts w:ascii="Calibri Light"/>
              </w:rPr>
            </w:pPr>
            <w:hyperlink r:id="rId29">
              <w:r>
                <w:rPr>
                  <w:rFonts w:ascii="Calibri Light"/>
                  <w:color w:val="0000FF"/>
                  <w:u w:val="single" w:color="0000FF"/>
                </w:rPr>
                <w:t>https://www.dges.gov.pt/pt/pagina/cursos-</w:t>
              </w:r>
            </w:hyperlink>
            <w:r>
              <w:rPr>
                <w:rFonts w:ascii="Calibri Light"/>
                <w:color w:val="0000FF"/>
              </w:rPr>
              <w:t xml:space="preserve"> </w:t>
            </w:r>
            <w:hyperlink r:id="rId30">
              <w:r>
                <w:rPr>
                  <w:rFonts w:ascii="Calibri Light"/>
                  <w:color w:val="0000FF"/>
                  <w:u w:val="single" w:color="0000FF"/>
                </w:rPr>
                <w:t>tecnicos-superiores-profissi</w:t>
              </w:r>
              <w:r>
                <w:rPr>
                  <w:rFonts w:ascii="Calibri Light"/>
                  <w:color w:val="0000FF"/>
                  <w:u w:val="single" w:color="0000FF"/>
                </w:rPr>
                <w:t>onais</w:t>
              </w:r>
            </w:hyperlink>
          </w:p>
        </w:tc>
      </w:tr>
    </w:tbl>
    <w:p w:rsidR="00434520" w:rsidRDefault="00434520">
      <w:pPr>
        <w:rPr>
          <w:rFonts w:ascii="Calibri Light"/>
        </w:rPr>
        <w:sectPr w:rsidR="00434520">
          <w:pgSz w:w="16840" w:h="11910" w:orient="landscape"/>
          <w:pgMar w:top="1400" w:right="680" w:bottom="1340" w:left="1340" w:header="692" w:footer="1142" w:gutter="0"/>
          <w:cols w:space="720"/>
        </w:sectPr>
      </w:pPr>
    </w:p>
    <w:p w:rsidR="00434520" w:rsidRDefault="00434520">
      <w:pPr>
        <w:pStyle w:val="BodyText"/>
        <w:spacing w:before="9"/>
        <w:rPr>
          <w:rFonts w:ascii="Times New Roman"/>
          <w:sz w:val="9"/>
        </w:rPr>
      </w:pPr>
    </w:p>
    <w:tbl>
      <w:tblPr>
        <w:tblW w:w="0" w:type="auto"/>
        <w:tblInd w:w="11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3207"/>
        <w:gridCol w:w="3625"/>
        <w:gridCol w:w="1611"/>
        <w:gridCol w:w="1342"/>
        <w:gridCol w:w="4487"/>
      </w:tblGrid>
      <w:tr w:rsidR="00434520">
        <w:trPr>
          <w:trHeight w:val="8792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107"/>
              <w:rPr>
                <w:rFonts w:ascii="Calibri Light"/>
              </w:rPr>
            </w:pPr>
            <w:r>
              <w:rPr>
                <w:rFonts w:ascii="Calibri Light"/>
              </w:rPr>
              <w:t>4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spacing w:before="1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Ensino Superior – Universidades (Universidade do Minho e Universidade da Beira Interior)</w:t>
            </w:r>
          </w:p>
          <w:p w:rsidR="00434520" w:rsidRDefault="008525EE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- Licenciatura em Ciências de Engenharia Têxtil</w:t>
            </w:r>
          </w:p>
          <w:p w:rsidR="00434520" w:rsidRDefault="008525EE">
            <w:pPr>
              <w:pStyle w:val="TableParagraph"/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Licenciatura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Marketing 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Moda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Licenciatura em Ciências de Engenharia Têxtil:</w:t>
            </w:r>
          </w:p>
          <w:p w:rsidR="00434520" w:rsidRDefault="008525E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competências específicas a desenvolver: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Analisar, modelar e projetar sistemas de Engenharia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Têxtil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Ensaiar, avaliar e garantir a qualidade de componentes e produtos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Utilizar, otimizar e desenvolver competências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Selecionar e caracterizar materiais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têxteis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Projetar e fabricar produtos têxteis 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equipamentos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Especificar sistemas industriais 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sector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Utilizar sistemas de informação para comunicação, aquisição e processamento de dados e de cálculo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científico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Utilizar sistemas de controlo e automação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Planeamento e capacidade de abordagem experimental de problema</w:t>
            </w:r>
            <w:r>
              <w:rPr>
                <w:sz w:val="20"/>
              </w:rPr>
              <w:t>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Perceber o funcionamento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global da economia e os fundamentos 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gestão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empresas</w:t>
            </w:r>
          </w:p>
          <w:p w:rsidR="00434520" w:rsidRDefault="008525E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2072"/>
                <w:tab w:val="left" w:pos="3310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Integrar</w:t>
            </w:r>
            <w:r>
              <w:rPr>
                <w:sz w:val="20"/>
              </w:rPr>
              <w:tab/>
              <w:t>práticas</w:t>
            </w:r>
            <w:r>
              <w:rPr>
                <w:sz w:val="20"/>
              </w:rPr>
              <w:tab/>
            </w:r>
            <w:r>
              <w:rPr>
                <w:spacing w:val="-9"/>
                <w:sz w:val="20"/>
              </w:rPr>
              <w:t xml:space="preserve">de </w:t>
            </w:r>
            <w:r>
              <w:rPr>
                <w:sz w:val="20"/>
              </w:rPr>
              <w:t>desenvolvimento sustentável e de preservação e recuperação ambientais no projeto e na produção de têxteis 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afins</w:t>
            </w:r>
          </w:p>
          <w:p w:rsidR="00434520" w:rsidRDefault="008525E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Licenciatura </w:t>
            </w:r>
            <w:r>
              <w:rPr>
                <w:sz w:val="20"/>
              </w:rPr>
              <w:t>em Design e Marketing da</w:t>
            </w:r>
          </w:p>
          <w:p w:rsidR="00434520" w:rsidRDefault="008525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Moda: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rPr>
                <w:rFonts w:ascii="Times New Roman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6"/>
              </w:rPr>
            </w:pPr>
          </w:p>
          <w:p w:rsidR="00434520" w:rsidRDefault="008525EE">
            <w:pPr>
              <w:pStyle w:val="TableParagraph"/>
              <w:spacing w:line="720" w:lineRule="auto"/>
              <w:ind w:left="106" w:right="433"/>
            </w:pPr>
            <w:hyperlink r:id="rId31">
              <w:r>
                <w:rPr>
                  <w:color w:val="0000FF"/>
                  <w:u w:val="single" w:color="0000FF"/>
                </w:rPr>
                <w:t>http://www.dges.gov.pt/guias/indcurso.asp</w:t>
              </w:r>
            </w:hyperlink>
            <w:r>
              <w:rPr>
                <w:color w:val="0000FF"/>
              </w:rPr>
              <w:t xml:space="preserve"> </w:t>
            </w:r>
            <w:hyperlink r:id="rId32">
              <w:r>
                <w:rPr>
                  <w:color w:val="0000FF"/>
                  <w:u w:val="single" w:color="0000FF"/>
                </w:rPr>
                <w:t>http://www.det.uminho.pt/pt-PT/</w:t>
              </w:r>
            </w:hyperlink>
            <w:r>
              <w:rPr>
                <w:color w:val="0000FF"/>
              </w:rPr>
              <w:t xml:space="preserve"> </w:t>
            </w:r>
            <w:hyperlink r:id="rId33">
              <w:r>
                <w:rPr>
                  <w:color w:val="0000FF"/>
                  <w:u w:val="single" w:color="0000FF"/>
                </w:rPr>
                <w:t>https://www.ubi.pt/curso/833</w:t>
              </w:r>
            </w:hyperlink>
          </w:p>
        </w:tc>
      </w:tr>
    </w:tbl>
    <w:p w:rsidR="00434520" w:rsidRDefault="00434520">
      <w:pPr>
        <w:spacing w:line="720" w:lineRule="auto"/>
        <w:sectPr w:rsidR="00434520">
          <w:headerReference w:type="default" r:id="rId34"/>
          <w:pgSz w:w="16840" w:h="11910" w:orient="landscape"/>
          <w:pgMar w:top="1400" w:right="680" w:bottom="1340" w:left="1340" w:header="692" w:footer="1142" w:gutter="0"/>
          <w:cols w:space="720"/>
        </w:sectPr>
      </w:pPr>
    </w:p>
    <w:p w:rsidR="00434520" w:rsidRDefault="00434520">
      <w:pPr>
        <w:pStyle w:val="BodyText"/>
        <w:spacing w:before="9"/>
        <w:rPr>
          <w:rFonts w:ascii="Times New Roman"/>
          <w:sz w:val="9"/>
        </w:rPr>
      </w:pPr>
    </w:p>
    <w:tbl>
      <w:tblPr>
        <w:tblW w:w="0" w:type="auto"/>
        <w:tblInd w:w="11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3207"/>
        <w:gridCol w:w="3625"/>
        <w:gridCol w:w="1611"/>
        <w:gridCol w:w="1342"/>
        <w:gridCol w:w="4487"/>
      </w:tblGrid>
      <w:tr w:rsidR="00434520">
        <w:trPr>
          <w:trHeight w:val="1466"/>
        </w:trPr>
        <w:tc>
          <w:tcPr>
            <w:tcW w:w="329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7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Desenvolver competências que permita criar novos produtos, bem como coleções e marcas de vestuário e acessórios, com um design de qualidade, elevada rentabilidade e corretamente direcionado</w:t>
            </w:r>
          </w:p>
          <w:p w:rsidR="00434520" w:rsidRDefault="008525EE">
            <w:pPr>
              <w:pStyle w:val="TableParagraph"/>
              <w:spacing w:before="1"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para os mercados-alvo.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520">
        <w:trPr>
          <w:trHeight w:val="3223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5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Ensino Superior – Universidades e Institutos Politécnicos</w:t>
            </w:r>
          </w:p>
          <w:p w:rsidR="00434520" w:rsidRDefault="008525EE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r>
              <w:rPr>
                <w:sz w:val="20"/>
              </w:rPr>
              <w:t>Mestrado em Design e Marketing de Produto Têxtil, Vestuário e Acessórios</w:t>
            </w:r>
          </w:p>
          <w:p w:rsidR="00434520" w:rsidRDefault="008525E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Mestrado em Design de Comunicação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Moda</w:t>
            </w:r>
          </w:p>
          <w:p w:rsidR="00434520" w:rsidRDefault="008525EE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Mestrado em Design do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Vestuário e Têxtil</w:t>
            </w:r>
          </w:p>
          <w:p w:rsidR="00434520" w:rsidRDefault="008525EE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line="243" w:lineRule="exact"/>
              <w:ind w:left="213" w:hanging="106"/>
              <w:jc w:val="both"/>
              <w:rPr>
                <w:sz w:val="20"/>
              </w:rPr>
            </w:pPr>
            <w:r>
              <w:rPr>
                <w:sz w:val="20"/>
              </w:rPr>
              <w:t>Mestrado em Engenharia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Têxtil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spacing w:before="1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Formação global e sistematizada de nível superior, cujos resultados de aprendizagem contribuem para a modernização e reestruturação das Indústrias Têxtil e do Vestuário.</w:t>
            </w:r>
          </w:p>
          <w:p w:rsidR="00434520" w:rsidRDefault="008525EE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Casa Mestrado integra resultados específicos de aprendiz</w:t>
            </w:r>
            <w:r>
              <w:rPr>
                <w:sz w:val="20"/>
              </w:rPr>
              <w:t>agem.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434520" w:rsidRDefault="008525EE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434520" w:rsidRDefault="008525E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106"/>
              <w:rPr>
                <w:rFonts w:ascii="Calibri Light"/>
              </w:rPr>
            </w:pPr>
            <w:hyperlink r:id="rId35">
              <w:r>
                <w:rPr>
                  <w:rFonts w:ascii="Calibri Light"/>
                  <w:color w:val="0000FF"/>
                  <w:u w:val="single" w:color="0000FF"/>
                </w:rPr>
                <w:t>http://www.dges.gov.pt/pt</w:t>
              </w:r>
            </w:hyperlink>
          </w:p>
          <w:p w:rsidR="00434520" w:rsidRDefault="00434520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106" w:right="1363"/>
              <w:rPr>
                <w:rFonts w:ascii="Calibri Light"/>
              </w:rPr>
            </w:pPr>
            <w:hyperlink r:id="rId36">
              <w:r>
                <w:rPr>
                  <w:rFonts w:ascii="Calibri Light"/>
                  <w:color w:val="0000FF"/>
                  <w:u w:val="single" w:color="0000FF"/>
                </w:rPr>
                <w:t>http://www.design.uminho.pt/pt-</w:t>
              </w:r>
            </w:hyperlink>
            <w:r>
              <w:rPr>
                <w:rFonts w:ascii="Calibri Light"/>
                <w:color w:val="0000FF"/>
              </w:rPr>
              <w:t xml:space="preserve"> </w:t>
            </w:r>
            <w:hyperlink r:id="rId37">
              <w:r>
                <w:rPr>
                  <w:rFonts w:ascii="Calibri Light"/>
                  <w:color w:val="0000FF"/>
                  <w:u w:val="single" w:color="0000FF"/>
                </w:rPr>
                <w:t>PT/mestrados/</w:t>
              </w:r>
            </w:hyperlink>
          </w:p>
          <w:p w:rsidR="00434520" w:rsidRDefault="00434520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106" w:right="112"/>
              <w:rPr>
                <w:rFonts w:ascii="Calibri Light"/>
              </w:rPr>
            </w:pPr>
            <w:hyperlink r:id="rId38">
              <w:r>
                <w:rPr>
                  <w:rFonts w:ascii="Calibri Light"/>
                  <w:color w:val="0000FF"/>
                  <w:u w:val="single" w:color="0000FF"/>
                </w:rPr>
                <w:t>http://www.ipcb.pt/esart/ensino/mestrado-em-</w:t>
              </w:r>
            </w:hyperlink>
            <w:r>
              <w:rPr>
                <w:rFonts w:ascii="Calibri Light"/>
                <w:color w:val="0000FF"/>
              </w:rPr>
              <w:t xml:space="preserve"> </w:t>
            </w:r>
            <w:hyperlink r:id="rId39">
              <w:r>
                <w:rPr>
                  <w:rFonts w:ascii="Calibri Light"/>
                  <w:color w:val="0000FF"/>
                  <w:u w:val="single" w:color="0000FF"/>
                </w:rPr>
                <w:t>design-do-vestuario-e-textil</w:t>
              </w:r>
            </w:hyperlink>
          </w:p>
          <w:p w:rsidR="00434520" w:rsidRDefault="00434520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spacing w:before="1"/>
              <w:ind w:left="106" w:right="98"/>
              <w:rPr>
                <w:rFonts w:ascii="Calibri Light"/>
              </w:rPr>
            </w:pPr>
            <w:hyperlink r:id="rId40">
              <w:r>
                <w:rPr>
                  <w:rFonts w:ascii="Calibri Light"/>
                  <w:color w:val="0000FF"/>
                  <w:u w:val="single" w:color="0000FF"/>
                </w:rPr>
                <w:t>http://www.universia.pt/estudos/ubi/mestrado-</w:t>
              </w:r>
            </w:hyperlink>
            <w:r>
              <w:rPr>
                <w:rFonts w:ascii="Calibri Light"/>
                <w:color w:val="0000FF"/>
              </w:rPr>
              <w:t xml:space="preserve"> </w:t>
            </w:r>
            <w:hyperlink r:id="rId41">
              <w:r>
                <w:rPr>
                  <w:rFonts w:ascii="Calibri Light"/>
                  <w:color w:val="0000FF"/>
                  <w:u w:val="single" w:color="0000FF"/>
                </w:rPr>
                <w:t>engenharia-textil/st/122118</w:t>
              </w:r>
            </w:hyperlink>
          </w:p>
        </w:tc>
      </w:tr>
      <w:tr w:rsidR="00434520">
        <w:trPr>
          <w:trHeight w:val="1610"/>
        </w:trPr>
        <w:tc>
          <w:tcPr>
            <w:tcW w:w="329" w:type="dxa"/>
          </w:tcPr>
          <w:p w:rsidR="00434520" w:rsidRDefault="008525EE">
            <w:pPr>
              <w:pStyle w:val="TableParagraph"/>
              <w:spacing w:line="268" w:lineRule="exact"/>
              <w:ind w:left="8"/>
              <w:jc w:val="center"/>
              <w:rPr>
                <w:rFonts w:ascii="Calibri Light"/>
              </w:rPr>
            </w:pPr>
            <w:r>
              <w:rPr>
                <w:rFonts w:ascii="Calibri Light"/>
              </w:rPr>
              <w:t>6</w:t>
            </w:r>
          </w:p>
        </w:tc>
        <w:tc>
          <w:tcPr>
            <w:tcW w:w="3207" w:type="dxa"/>
          </w:tcPr>
          <w:p w:rsidR="00434520" w:rsidRDefault="008525E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Ensino Superior - Universidades</w:t>
            </w:r>
          </w:p>
          <w:p w:rsidR="00434520" w:rsidRDefault="008525EE">
            <w:pPr>
              <w:pStyle w:val="TableParagraph"/>
              <w:tabs>
                <w:tab w:val="left" w:pos="827"/>
                <w:tab w:val="left" w:pos="2321"/>
                <w:tab w:val="left" w:pos="2735"/>
              </w:tabs>
              <w:ind w:left="827" w:right="97" w:hanging="360"/>
              <w:rPr>
                <w:sz w:val="20"/>
              </w:rPr>
            </w:pPr>
            <w:r>
              <w:rPr>
                <w:rFonts w:ascii="Calibri Light" w:hAnsi="Calibri Light"/>
                <w:sz w:val="20"/>
              </w:rPr>
              <w:t>-</w:t>
            </w:r>
            <w:r>
              <w:rPr>
                <w:rFonts w:ascii="Calibri Light" w:hAnsi="Calibri Light"/>
                <w:sz w:val="20"/>
              </w:rPr>
              <w:tab/>
            </w:r>
            <w:r>
              <w:rPr>
                <w:sz w:val="20"/>
              </w:rPr>
              <w:t>Doutoramentos</w:t>
            </w:r>
            <w:r>
              <w:rPr>
                <w:sz w:val="20"/>
              </w:rPr>
              <w:tab/>
              <w:t>na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área </w:t>
            </w:r>
            <w:r>
              <w:rPr>
                <w:sz w:val="20"/>
              </w:rPr>
              <w:t>Têxtil</w:t>
            </w:r>
          </w:p>
        </w:tc>
        <w:tc>
          <w:tcPr>
            <w:tcW w:w="3625" w:type="dxa"/>
          </w:tcPr>
          <w:p w:rsidR="00434520" w:rsidRDefault="008525EE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Para os alunos que titulares de mestrado. Formação de especialistas altamente qualificados, a fim de contribuírem para a criação de um novo conhecimento que aumente a interação entre a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Universidade e a comunidade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empresarial.</w:t>
            </w:r>
          </w:p>
        </w:tc>
        <w:tc>
          <w:tcPr>
            <w:tcW w:w="1611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42" w:type="dxa"/>
          </w:tcPr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rPr>
                <w:rFonts w:ascii="Times New Roman"/>
                <w:sz w:val="20"/>
              </w:rPr>
            </w:pPr>
          </w:p>
          <w:p w:rsidR="00434520" w:rsidRDefault="00434520"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487" w:type="dxa"/>
          </w:tcPr>
          <w:p w:rsidR="00434520" w:rsidRDefault="00434520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spacing w:before="1"/>
              <w:ind w:left="106"/>
              <w:rPr>
                <w:rFonts w:ascii="Calibri Light"/>
              </w:rPr>
            </w:pPr>
            <w:hyperlink r:id="rId42">
              <w:r>
                <w:rPr>
                  <w:rFonts w:ascii="Calibri Light"/>
                  <w:color w:val="0000FF"/>
                  <w:u w:val="single" w:color="0000FF"/>
                </w:rPr>
                <w:t>http://www.dges.gov.pt/pt</w:t>
              </w:r>
            </w:hyperlink>
          </w:p>
          <w:p w:rsidR="00434520" w:rsidRDefault="00434520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434520" w:rsidRDefault="008525EE">
            <w:pPr>
              <w:pStyle w:val="TableParagraph"/>
              <w:ind w:left="106"/>
              <w:rPr>
                <w:rFonts w:ascii="Calibri Light"/>
              </w:rPr>
            </w:pPr>
            <w:hyperlink r:id="rId43">
              <w:r>
                <w:rPr>
                  <w:rFonts w:ascii="Calibri Light"/>
                  <w:color w:val="0000FF"/>
                  <w:spacing w:val="-1"/>
                  <w:u w:val="single" w:color="0000FF"/>
                </w:rPr>
                <w:t>http://www.det.uminho.pt/pt-</w:t>
              </w:r>
            </w:hyperlink>
            <w:r>
              <w:rPr>
                <w:rFonts w:ascii="Calibri Light"/>
                <w:color w:val="0000FF"/>
                <w:spacing w:val="-1"/>
              </w:rPr>
              <w:t xml:space="preserve"> </w:t>
            </w:r>
            <w:hyperlink r:id="rId44">
              <w:r>
                <w:rPr>
                  <w:rFonts w:ascii="Calibri Light"/>
                  <w:color w:val="0000FF"/>
                  <w:u w:val="single" w:color="0000FF"/>
                </w:rPr>
                <w:t>pt/ensino/dou</w:t>
              </w:r>
              <w:r>
                <w:rPr>
                  <w:rFonts w:ascii="Calibri Light"/>
                  <w:color w:val="0000FF"/>
                  <w:u w:val="single" w:color="0000FF"/>
                </w:rPr>
                <w:t>toramentos/</w:t>
              </w:r>
            </w:hyperlink>
          </w:p>
        </w:tc>
      </w:tr>
    </w:tbl>
    <w:p w:rsidR="00000000" w:rsidRDefault="008525EE"/>
    <w:sectPr w:rsidR="00000000">
      <w:pgSz w:w="16840" w:h="11910" w:orient="landscape"/>
      <w:pgMar w:top="1400" w:right="680" w:bottom="1340" w:left="1340" w:header="692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525EE">
      <w:r>
        <w:separator/>
      </w:r>
    </w:p>
  </w:endnote>
  <w:endnote w:type="continuationSeparator" w:id="0">
    <w:p w:rsidR="00000000" w:rsidRDefault="0085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5EE" w:rsidRDefault="00852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520" w:rsidRDefault="008525EE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2.95pt;margin-top:769.85pt;width:468.7pt;height:24.2pt;z-index:-16888;mso-position-horizontal-relative:page;mso-position-vertical-relative:page" filled="f" stroked="f">
          <v:textbox inset="0,0,0,0">
            <w:txbxContent>
              <w:p w:rsidR="00434520" w:rsidRDefault="008525EE">
                <w:pPr>
                  <w:spacing w:line="223" w:lineRule="exact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Este projeto é financiado com o apoio da Comissão Europeia. Esta publicação reflete os pontos de vista do autor e a</w:t>
                </w:r>
              </w:p>
              <w:p w:rsidR="00434520" w:rsidRDefault="008525EE">
                <w:pPr>
                  <w:ind w:left="2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Comissão não poderá ser responsabilizada por qualquer 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5EE" w:rsidRDefault="008525E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520" w:rsidRDefault="008525EE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.95pt;margin-top:523.25pt;width:697.8pt;height:24.2pt;z-index:-16792;mso-position-horizontal-relative:page;mso-position-vertical-relative:page" filled="f" stroked="f">
          <v:textbox inset="0,0,0,0">
            <w:txbxContent>
              <w:p w:rsidR="00434520" w:rsidRDefault="008525EE">
                <w:pPr>
                  <w:spacing w:line="223" w:lineRule="exact"/>
                  <w:ind w:left="1" w:right="1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 xml:space="preserve">Este </w:t>
                </w:r>
                <w:r>
                  <w:rPr>
                    <w:i/>
                    <w:sz w:val="20"/>
                  </w:rPr>
                  <w:t>projeto é financiado com o apoio da Comissão Europeia. Esta publicação reflete os pontos de vista do autor e a Comissão não poderá ser responsabilizada por qualquer</w:t>
                </w:r>
              </w:p>
              <w:p w:rsidR="00434520" w:rsidRDefault="008525EE">
                <w:pPr>
                  <w:ind w:left="1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utilização da informação nela contida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525EE">
      <w:r>
        <w:separator/>
      </w:r>
    </w:p>
  </w:footnote>
  <w:footnote w:type="continuationSeparator" w:id="0">
    <w:p w:rsidR="00000000" w:rsidRDefault="00852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5EE" w:rsidRDefault="00852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5EE" w:rsidRDefault="008525EE" w:rsidP="008525EE">
    <w:pPr>
      <w:pStyle w:val="Header"/>
    </w:pPr>
    <w:r>
      <w:rPr>
        <w:noProof/>
      </w:rPr>
      <w:drawing>
        <wp:anchor distT="0" distB="0" distL="114300" distR="114300" simplePos="0" relativeHeight="503302760" behindDoc="1" locked="0" layoutInCell="1" allowOverlap="1" wp14:anchorId="61CE5742" wp14:editId="43F658E4">
          <wp:simplePos x="0" y="0"/>
          <wp:positionH relativeFrom="column">
            <wp:posOffset>1621155</wp:posOffset>
          </wp:positionH>
          <wp:positionV relativeFrom="paragraph">
            <wp:posOffset>114300</wp:posOffset>
          </wp:positionV>
          <wp:extent cx="1607820" cy="346710"/>
          <wp:effectExtent l="0" t="0" r="0" b="0"/>
          <wp:wrapNone/>
          <wp:docPr id="14" name="Bild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7C0">
      <w:rPr>
        <w:b/>
        <w:noProof/>
      </w:rPr>
      <w:drawing>
        <wp:anchor distT="0" distB="0" distL="114300" distR="114300" simplePos="0" relativeHeight="503301736" behindDoc="0" locked="0" layoutInCell="1" allowOverlap="1" wp14:anchorId="5CBCFB78" wp14:editId="5907FFDC">
          <wp:simplePos x="0" y="0"/>
          <wp:positionH relativeFrom="column">
            <wp:posOffset>3436620</wp:posOffset>
          </wp:positionH>
          <wp:positionV relativeFrom="paragraph">
            <wp:posOffset>-45085</wp:posOffset>
          </wp:positionV>
          <wp:extent cx="2113915" cy="603885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22EF8FE3" wp14:editId="5B6FBFB2">
          <wp:extent cx="1590675" cy="596503"/>
          <wp:effectExtent l="0" t="0" r="0" b="0"/>
          <wp:docPr id="2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XAPP_logo_RGB_white_backgroun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620" cy="612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:rsidR="00434520" w:rsidRPr="008525EE" w:rsidRDefault="00434520" w:rsidP="008525E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5EE" w:rsidRDefault="008525E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520" w:rsidRDefault="008525EE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68418591" behindDoc="1" locked="0" layoutInCell="1" allowOverlap="1">
          <wp:simplePos x="0" y="0"/>
          <wp:positionH relativeFrom="page">
            <wp:posOffset>1593830</wp:posOffset>
          </wp:positionH>
          <wp:positionV relativeFrom="page">
            <wp:posOffset>439111</wp:posOffset>
          </wp:positionV>
          <wp:extent cx="1327586" cy="451227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7586" cy="4512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8615" behindDoc="1" locked="0" layoutInCell="1" allowOverlap="1">
          <wp:simplePos x="0" y="0"/>
          <wp:positionH relativeFrom="page">
            <wp:posOffset>5198548</wp:posOffset>
          </wp:positionH>
          <wp:positionV relativeFrom="page">
            <wp:posOffset>522435</wp:posOffset>
          </wp:positionV>
          <wp:extent cx="1684330" cy="366268"/>
          <wp:effectExtent l="0" t="0" r="0" b="0"/>
          <wp:wrapNone/>
          <wp:docPr id="1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84330" cy="3662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0" style="position:absolute;z-index:-16816;mso-position-horizontal-relative:page;mso-position-vertical-relative:page" from="160.4pt,104pt" to="160.4pt,104.45pt" strokeweight=".09pt">
          <v:stroke dashstyle="1 1"/>
          <w10:wrap anchorx="page" anchory="page"/>
        </v:lin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520" w:rsidRDefault="008525EE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68418687" behindDoc="1" locked="0" layoutInCell="1" allowOverlap="1">
          <wp:simplePos x="0" y="0"/>
          <wp:positionH relativeFrom="page">
            <wp:posOffset>1593830</wp:posOffset>
          </wp:positionH>
          <wp:positionV relativeFrom="page">
            <wp:posOffset>439111</wp:posOffset>
          </wp:positionV>
          <wp:extent cx="1327586" cy="451227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7586" cy="4512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8711" behindDoc="1" locked="0" layoutInCell="1" allowOverlap="1">
          <wp:simplePos x="0" y="0"/>
          <wp:positionH relativeFrom="page">
            <wp:posOffset>5198548</wp:posOffset>
          </wp:positionH>
          <wp:positionV relativeFrom="page">
            <wp:posOffset>522435</wp:posOffset>
          </wp:positionV>
          <wp:extent cx="1684330" cy="366268"/>
          <wp:effectExtent l="0" t="0" r="0" b="0"/>
          <wp:wrapNone/>
          <wp:docPr id="1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84330" cy="3662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5489C"/>
    <w:multiLevelType w:val="hybridMultilevel"/>
    <w:tmpl w:val="B7A02DA2"/>
    <w:lvl w:ilvl="0" w:tplc="21B6A6D8">
      <w:numFmt w:val="bullet"/>
      <w:lvlText w:val="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pt-PT" w:eastAsia="pt-PT" w:bidi="pt-PT"/>
      </w:rPr>
    </w:lvl>
    <w:lvl w:ilvl="1" w:tplc="414EA396">
      <w:numFmt w:val="bullet"/>
      <w:lvlText w:val="•"/>
      <w:lvlJc w:val="left"/>
      <w:pPr>
        <w:ind w:left="1099" w:hanging="361"/>
      </w:pPr>
      <w:rPr>
        <w:rFonts w:hint="default"/>
        <w:lang w:val="pt-PT" w:eastAsia="pt-PT" w:bidi="pt-PT"/>
      </w:rPr>
    </w:lvl>
    <w:lvl w:ilvl="2" w:tplc="28742E4A">
      <w:numFmt w:val="bullet"/>
      <w:lvlText w:val="•"/>
      <w:lvlJc w:val="left"/>
      <w:pPr>
        <w:ind w:left="1379" w:hanging="361"/>
      </w:pPr>
      <w:rPr>
        <w:rFonts w:hint="default"/>
        <w:lang w:val="pt-PT" w:eastAsia="pt-PT" w:bidi="pt-PT"/>
      </w:rPr>
    </w:lvl>
    <w:lvl w:ilvl="3" w:tplc="1300299A">
      <w:numFmt w:val="bullet"/>
      <w:lvlText w:val="•"/>
      <w:lvlJc w:val="left"/>
      <w:pPr>
        <w:ind w:left="1658" w:hanging="361"/>
      </w:pPr>
      <w:rPr>
        <w:rFonts w:hint="default"/>
        <w:lang w:val="pt-PT" w:eastAsia="pt-PT" w:bidi="pt-PT"/>
      </w:rPr>
    </w:lvl>
    <w:lvl w:ilvl="4" w:tplc="7554BC06">
      <w:numFmt w:val="bullet"/>
      <w:lvlText w:val="•"/>
      <w:lvlJc w:val="left"/>
      <w:pPr>
        <w:ind w:left="1938" w:hanging="361"/>
      </w:pPr>
      <w:rPr>
        <w:rFonts w:hint="default"/>
        <w:lang w:val="pt-PT" w:eastAsia="pt-PT" w:bidi="pt-PT"/>
      </w:rPr>
    </w:lvl>
    <w:lvl w:ilvl="5" w:tplc="EAB6FDC8">
      <w:numFmt w:val="bullet"/>
      <w:lvlText w:val="•"/>
      <w:lvlJc w:val="left"/>
      <w:pPr>
        <w:ind w:left="2217" w:hanging="361"/>
      </w:pPr>
      <w:rPr>
        <w:rFonts w:hint="default"/>
        <w:lang w:val="pt-PT" w:eastAsia="pt-PT" w:bidi="pt-PT"/>
      </w:rPr>
    </w:lvl>
    <w:lvl w:ilvl="6" w:tplc="94866F0C">
      <w:numFmt w:val="bullet"/>
      <w:lvlText w:val="•"/>
      <w:lvlJc w:val="left"/>
      <w:pPr>
        <w:ind w:left="2497" w:hanging="361"/>
      </w:pPr>
      <w:rPr>
        <w:rFonts w:hint="default"/>
        <w:lang w:val="pt-PT" w:eastAsia="pt-PT" w:bidi="pt-PT"/>
      </w:rPr>
    </w:lvl>
    <w:lvl w:ilvl="7" w:tplc="B95ED98C">
      <w:numFmt w:val="bullet"/>
      <w:lvlText w:val="•"/>
      <w:lvlJc w:val="left"/>
      <w:pPr>
        <w:ind w:left="2776" w:hanging="361"/>
      </w:pPr>
      <w:rPr>
        <w:rFonts w:hint="default"/>
        <w:lang w:val="pt-PT" w:eastAsia="pt-PT" w:bidi="pt-PT"/>
      </w:rPr>
    </w:lvl>
    <w:lvl w:ilvl="8" w:tplc="8A2C24FE">
      <w:numFmt w:val="bullet"/>
      <w:lvlText w:val="•"/>
      <w:lvlJc w:val="left"/>
      <w:pPr>
        <w:ind w:left="3056" w:hanging="361"/>
      </w:pPr>
      <w:rPr>
        <w:rFonts w:hint="default"/>
        <w:lang w:val="pt-PT" w:eastAsia="pt-PT" w:bidi="pt-PT"/>
      </w:rPr>
    </w:lvl>
  </w:abstractNum>
  <w:abstractNum w:abstractNumId="1" w15:restartNumberingAfterBreak="0">
    <w:nsid w:val="23774C14"/>
    <w:multiLevelType w:val="hybridMultilevel"/>
    <w:tmpl w:val="BED81F16"/>
    <w:lvl w:ilvl="0" w:tplc="1084DE0E">
      <w:numFmt w:val="bullet"/>
      <w:lvlText w:val="-"/>
      <w:lvlJc w:val="left"/>
      <w:pPr>
        <w:ind w:left="107" w:hanging="344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54A00122">
      <w:numFmt w:val="bullet"/>
      <w:lvlText w:val="•"/>
      <w:lvlJc w:val="left"/>
      <w:pPr>
        <w:ind w:left="409" w:hanging="344"/>
      </w:pPr>
      <w:rPr>
        <w:rFonts w:hint="default"/>
        <w:lang w:val="pt-PT" w:eastAsia="pt-PT" w:bidi="pt-PT"/>
      </w:rPr>
    </w:lvl>
    <w:lvl w:ilvl="2" w:tplc="DB563554">
      <w:numFmt w:val="bullet"/>
      <w:lvlText w:val="•"/>
      <w:lvlJc w:val="left"/>
      <w:pPr>
        <w:ind w:left="719" w:hanging="344"/>
      </w:pPr>
      <w:rPr>
        <w:rFonts w:hint="default"/>
        <w:lang w:val="pt-PT" w:eastAsia="pt-PT" w:bidi="pt-PT"/>
      </w:rPr>
    </w:lvl>
    <w:lvl w:ilvl="3" w:tplc="2F74C4FA">
      <w:numFmt w:val="bullet"/>
      <w:lvlText w:val="•"/>
      <w:lvlJc w:val="left"/>
      <w:pPr>
        <w:ind w:left="1029" w:hanging="344"/>
      </w:pPr>
      <w:rPr>
        <w:rFonts w:hint="default"/>
        <w:lang w:val="pt-PT" w:eastAsia="pt-PT" w:bidi="pt-PT"/>
      </w:rPr>
    </w:lvl>
    <w:lvl w:ilvl="4" w:tplc="670810CC">
      <w:numFmt w:val="bullet"/>
      <w:lvlText w:val="•"/>
      <w:lvlJc w:val="left"/>
      <w:pPr>
        <w:ind w:left="1338" w:hanging="344"/>
      </w:pPr>
      <w:rPr>
        <w:rFonts w:hint="default"/>
        <w:lang w:val="pt-PT" w:eastAsia="pt-PT" w:bidi="pt-PT"/>
      </w:rPr>
    </w:lvl>
    <w:lvl w:ilvl="5" w:tplc="C3260FA4">
      <w:numFmt w:val="bullet"/>
      <w:lvlText w:val="•"/>
      <w:lvlJc w:val="left"/>
      <w:pPr>
        <w:ind w:left="1648" w:hanging="344"/>
      </w:pPr>
      <w:rPr>
        <w:rFonts w:hint="default"/>
        <w:lang w:val="pt-PT" w:eastAsia="pt-PT" w:bidi="pt-PT"/>
      </w:rPr>
    </w:lvl>
    <w:lvl w:ilvl="6" w:tplc="4E0C9E62">
      <w:numFmt w:val="bullet"/>
      <w:lvlText w:val="•"/>
      <w:lvlJc w:val="left"/>
      <w:pPr>
        <w:ind w:left="1958" w:hanging="344"/>
      </w:pPr>
      <w:rPr>
        <w:rFonts w:hint="default"/>
        <w:lang w:val="pt-PT" w:eastAsia="pt-PT" w:bidi="pt-PT"/>
      </w:rPr>
    </w:lvl>
    <w:lvl w:ilvl="7" w:tplc="B7469AB0">
      <w:numFmt w:val="bullet"/>
      <w:lvlText w:val="•"/>
      <w:lvlJc w:val="left"/>
      <w:pPr>
        <w:ind w:left="2267" w:hanging="344"/>
      </w:pPr>
      <w:rPr>
        <w:rFonts w:hint="default"/>
        <w:lang w:val="pt-PT" w:eastAsia="pt-PT" w:bidi="pt-PT"/>
      </w:rPr>
    </w:lvl>
    <w:lvl w:ilvl="8" w:tplc="D0F003C6">
      <w:numFmt w:val="bullet"/>
      <w:lvlText w:val="•"/>
      <w:lvlJc w:val="left"/>
      <w:pPr>
        <w:ind w:left="2577" w:hanging="344"/>
      </w:pPr>
      <w:rPr>
        <w:rFonts w:hint="default"/>
        <w:lang w:val="pt-PT" w:eastAsia="pt-PT" w:bidi="pt-PT"/>
      </w:rPr>
    </w:lvl>
  </w:abstractNum>
  <w:abstractNum w:abstractNumId="2" w15:restartNumberingAfterBreak="0">
    <w:nsid w:val="34630679"/>
    <w:multiLevelType w:val="hybridMultilevel"/>
    <w:tmpl w:val="E3560260"/>
    <w:lvl w:ilvl="0" w:tplc="943A0C6C">
      <w:numFmt w:val="bullet"/>
      <w:lvlText w:val="-"/>
      <w:lvlJc w:val="left"/>
      <w:pPr>
        <w:ind w:left="107" w:hanging="107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CDC8F94C">
      <w:numFmt w:val="bullet"/>
      <w:lvlText w:val="•"/>
      <w:lvlJc w:val="left"/>
      <w:pPr>
        <w:ind w:left="409" w:hanging="107"/>
      </w:pPr>
      <w:rPr>
        <w:rFonts w:hint="default"/>
        <w:lang w:val="pt-PT" w:eastAsia="pt-PT" w:bidi="pt-PT"/>
      </w:rPr>
    </w:lvl>
    <w:lvl w:ilvl="2" w:tplc="6666ADEC">
      <w:numFmt w:val="bullet"/>
      <w:lvlText w:val="•"/>
      <w:lvlJc w:val="left"/>
      <w:pPr>
        <w:ind w:left="719" w:hanging="107"/>
      </w:pPr>
      <w:rPr>
        <w:rFonts w:hint="default"/>
        <w:lang w:val="pt-PT" w:eastAsia="pt-PT" w:bidi="pt-PT"/>
      </w:rPr>
    </w:lvl>
    <w:lvl w:ilvl="3" w:tplc="B42A668A">
      <w:numFmt w:val="bullet"/>
      <w:lvlText w:val="•"/>
      <w:lvlJc w:val="left"/>
      <w:pPr>
        <w:ind w:left="1029" w:hanging="107"/>
      </w:pPr>
      <w:rPr>
        <w:rFonts w:hint="default"/>
        <w:lang w:val="pt-PT" w:eastAsia="pt-PT" w:bidi="pt-PT"/>
      </w:rPr>
    </w:lvl>
    <w:lvl w:ilvl="4" w:tplc="182E06BA">
      <w:numFmt w:val="bullet"/>
      <w:lvlText w:val="•"/>
      <w:lvlJc w:val="left"/>
      <w:pPr>
        <w:ind w:left="1338" w:hanging="107"/>
      </w:pPr>
      <w:rPr>
        <w:rFonts w:hint="default"/>
        <w:lang w:val="pt-PT" w:eastAsia="pt-PT" w:bidi="pt-PT"/>
      </w:rPr>
    </w:lvl>
    <w:lvl w:ilvl="5" w:tplc="50009A3A">
      <w:numFmt w:val="bullet"/>
      <w:lvlText w:val="•"/>
      <w:lvlJc w:val="left"/>
      <w:pPr>
        <w:ind w:left="1648" w:hanging="107"/>
      </w:pPr>
      <w:rPr>
        <w:rFonts w:hint="default"/>
        <w:lang w:val="pt-PT" w:eastAsia="pt-PT" w:bidi="pt-PT"/>
      </w:rPr>
    </w:lvl>
    <w:lvl w:ilvl="6" w:tplc="10C6DFA2">
      <w:numFmt w:val="bullet"/>
      <w:lvlText w:val="•"/>
      <w:lvlJc w:val="left"/>
      <w:pPr>
        <w:ind w:left="1958" w:hanging="107"/>
      </w:pPr>
      <w:rPr>
        <w:rFonts w:hint="default"/>
        <w:lang w:val="pt-PT" w:eastAsia="pt-PT" w:bidi="pt-PT"/>
      </w:rPr>
    </w:lvl>
    <w:lvl w:ilvl="7" w:tplc="D0C00B3E">
      <w:numFmt w:val="bullet"/>
      <w:lvlText w:val="•"/>
      <w:lvlJc w:val="left"/>
      <w:pPr>
        <w:ind w:left="2267" w:hanging="107"/>
      </w:pPr>
      <w:rPr>
        <w:rFonts w:hint="default"/>
        <w:lang w:val="pt-PT" w:eastAsia="pt-PT" w:bidi="pt-PT"/>
      </w:rPr>
    </w:lvl>
    <w:lvl w:ilvl="8" w:tplc="AFE21642">
      <w:numFmt w:val="bullet"/>
      <w:lvlText w:val="•"/>
      <w:lvlJc w:val="left"/>
      <w:pPr>
        <w:ind w:left="2577" w:hanging="107"/>
      </w:pPr>
      <w:rPr>
        <w:rFonts w:hint="default"/>
        <w:lang w:val="pt-PT" w:eastAsia="pt-PT" w:bidi="pt-PT"/>
      </w:rPr>
    </w:lvl>
  </w:abstractNum>
  <w:abstractNum w:abstractNumId="3" w15:restartNumberingAfterBreak="0">
    <w:nsid w:val="378059C4"/>
    <w:multiLevelType w:val="hybridMultilevel"/>
    <w:tmpl w:val="0180D530"/>
    <w:lvl w:ilvl="0" w:tplc="389630A4">
      <w:numFmt w:val="bullet"/>
      <w:lvlText w:val="-"/>
      <w:lvlJc w:val="left"/>
      <w:pPr>
        <w:ind w:left="107" w:hanging="329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6C127D08">
      <w:numFmt w:val="bullet"/>
      <w:lvlText w:val="•"/>
      <w:lvlJc w:val="left"/>
      <w:pPr>
        <w:ind w:left="451" w:hanging="329"/>
      </w:pPr>
      <w:rPr>
        <w:rFonts w:hint="default"/>
        <w:lang w:val="pt-PT" w:eastAsia="pt-PT" w:bidi="pt-PT"/>
      </w:rPr>
    </w:lvl>
    <w:lvl w:ilvl="2" w:tplc="2E6C4188">
      <w:numFmt w:val="bullet"/>
      <w:lvlText w:val="•"/>
      <w:lvlJc w:val="left"/>
      <w:pPr>
        <w:ind w:left="803" w:hanging="329"/>
      </w:pPr>
      <w:rPr>
        <w:rFonts w:hint="default"/>
        <w:lang w:val="pt-PT" w:eastAsia="pt-PT" w:bidi="pt-PT"/>
      </w:rPr>
    </w:lvl>
    <w:lvl w:ilvl="3" w:tplc="7DC45A44">
      <w:numFmt w:val="bullet"/>
      <w:lvlText w:val="•"/>
      <w:lvlJc w:val="left"/>
      <w:pPr>
        <w:ind w:left="1154" w:hanging="329"/>
      </w:pPr>
      <w:rPr>
        <w:rFonts w:hint="default"/>
        <w:lang w:val="pt-PT" w:eastAsia="pt-PT" w:bidi="pt-PT"/>
      </w:rPr>
    </w:lvl>
    <w:lvl w:ilvl="4" w:tplc="4998DE54">
      <w:numFmt w:val="bullet"/>
      <w:lvlText w:val="•"/>
      <w:lvlJc w:val="left"/>
      <w:pPr>
        <w:ind w:left="1506" w:hanging="329"/>
      </w:pPr>
      <w:rPr>
        <w:rFonts w:hint="default"/>
        <w:lang w:val="pt-PT" w:eastAsia="pt-PT" w:bidi="pt-PT"/>
      </w:rPr>
    </w:lvl>
    <w:lvl w:ilvl="5" w:tplc="CED8E68E">
      <w:numFmt w:val="bullet"/>
      <w:lvlText w:val="•"/>
      <w:lvlJc w:val="left"/>
      <w:pPr>
        <w:ind w:left="1857" w:hanging="329"/>
      </w:pPr>
      <w:rPr>
        <w:rFonts w:hint="default"/>
        <w:lang w:val="pt-PT" w:eastAsia="pt-PT" w:bidi="pt-PT"/>
      </w:rPr>
    </w:lvl>
    <w:lvl w:ilvl="6" w:tplc="8E0CDC52">
      <w:numFmt w:val="bullet"/>
      <w:lvlText w:val="•"/>
      <w:lvlJc w:val="left"/>
      <w:pPr>
        <w:ind w:left="2209" w:hanging="329"/>
      </w:pPr>
      <w:rPr>
        <w:rFonts w:hint="default"/>
        <w:lang w:val="pt-PT" w:eastAsia="pt-PT" w:bidi="pt-PT"/>
      </w:rPr>
    </w:lvl>
    <w:lvl w:ilvl="7" w:tplc="DF38124A">
      <w:numFmt w:val="bullet"/>
      <w:lvlText w:val="•"/>
      <w:lvlJc w:val="left"/>
      <w:pPr>
        <w:ind w:left="2560" w:hanging="329"/>
      </w:pPr>
      <w:rPr>
        <w:rFonts w:hint="default"/>
        <w:lang w:val="pt-PT" w:eastAsia="pt-PT" w:bidi="pt-PT"/>
      </w:rPr>
    </w:lvl>
    <w:lvl w:ilvl="8" w:tplc="212C149A">
      <w:numFmt w:val="bullet"/>
      <w:lvlText w:val="•"/>
      <w:lvlJc w:val="left"/>
      <w:pPr>
        <w:ind w:left="2912" w:hanging="329"/>
      </w:pPr>
      <w:rPr>
        <w:rFonts w:hint="default"/>
        <w:lang w:val="pt-PT" w:eastAsia="pt-PT" w:bidi="pt-PT"/>
      </w:rPr>
    </w:lvl>
  </w:abstractNum>
  <w:abstractNum w:abstractNumId="4" w15:restartNumberingAfterBreak="0">
    <w:nsid w:val="37E33507"/>
    <w:multiLevelType w:val="hybridMultilevel"/>
    <w:tmpl w:val="FAE82052"/>
    <w:lvl w:ilvl="0" w:tplc="35BA7F32">
      <w:numFmt w:val="bullet"/>
      <w:lvlText w:val="-"/>
      <w:lvlJc w:val="left"/>
      <w:pPr>
        <w:ind w:left="107" w:hanging="322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0106A44C">
      <w:numFmt w:val="bullet"/>
      <w:lvlText w:val="•"/>
      <w:lvlJc w:val="left"/>
      <w:pPr>
        <w:ind w:left="409" w:hanging="322"/>
      </w:pPr>
      <w:rPr>
        <w:rFonts w:hint="default"/>
        <w:lang w:val="pt-PT" w:eastAsia="pt-PT" w:bidi="pt-PT"/>
      </w:rPr>
    </w:lvl>
    <w:lvl w:ilvl="2" w:tplc="769A7622">
      <w:numFmt w:val="bullet"/>
      <w:lvlText w:val="•"/>
      <w:lvlJc w:val="left"/>
      <w:pPr>
        <w:ind w:left="719" w:hanging="322"/>
      </w:pPr>
      <w:rPr>
        <w:rFonts w:hint="default"/>
        <w:lang w:val="pt-PT" w:eastAsia="pt-PT" w:bidi="pt-PT"/>
      </w:rPr>
    </w:lvl>
    <w:lvl w:ilvl="3" w:tplc="6ECAAEA6">
      <w:numFmt w:val="bullet"/>
      <w:lvlText w:val="•"/>
      <w:lvlJc w:val="left"/>
      <w:pPr>
        <w:ind w:left="1029" w:hanging="322"/>
      </w:pPr>
      <w:rPr>
        <w:rFonts w:hint="default"/>
        <w:lang w:val="pt-PT" w:eastAsia="pt-PT" w:bidi="pt-PT"/>
      </w:rPr>
    </w:lvl>
    <w:lvl w:ilvl="4" w:tplc="BA8AC82A">
      <w:numFmt w:val="bullet"/>
      <w:lvlText w:val="•"/>
      <w:lvlJc w:val="left"/>
      <w:pPr>
        <w:ind w:left="1338" w:hanging="322"/>
      </w:pPr>
      <w:rPr>
        <w:rFonts w:hint="default"/>
        <w:lang w:val="pt-PT" w:eastAsia="pt-PT" w:bidi="pt-PT"/>
      </w:rPr>
    </w:lvl>
    <w:lvl w:ilvl="5" w:tplc="65DE8AC8">
      <w:numFmt w:val="bullet"/>
      <w:lvlText w:val="•"/>
      <w:lvlJc w:val="left"/>
      <w:pPr>
        <w:ind w:left="1648" w:hanging="322"/>
      </w:pPr>
      <w:rPr>
        <w:rFonts w:hint="default"/>
        <w:lang w:val="pt-PT" w:eastAsia="pt-PT" w:bidi="pt-PT"/>
      </w:rPr>
    </w:lvl>
    <w:lvl w:ilvl="6" w:tplc="8B8AD8DE">
      <w:numFmt w:val="bullet"/>
      <w:lvlText w:val="•"/>
      <w:lvlJc w:val="left"/>
      <w:pPr>
        <w:ind w:left="1958" w:hanging="322"/>
      </w:pPr>
      <w:rPr>
        <w:rFonts w:hint="default"/>
        <w:lang w:val="pt-PT" w:eastAsia="pt-PT" w:bidi="pt-PT"/>
      </w:rPr>
    </w:lvl>
    <w:lvl w:ilvl="7" w:tplc="6234D7E8">
      <w:numFmt w:val="bullet"/>
      <w:lvlText w:val="•"/>
      <w:lvlJc w:val="left"/>
      <w:pPr>
        <w:ind w:left="2267" w:hanging="322"/>
      </w:pPr>
      <w:rPr>
        <w:rFonts w:hint="default"/>
        <w:lang w:val="pt-PT" w:eastAsia="pt-PT" w:bidi="pt-PT"/>
      </w:rPr>
    </w:lvl>
    <w:lvl w:ilvl="8" w:tplc="A0EAD1A0">
      <w:numFmt w:val="bullet"/>
      <w:lvlText w:val="•"/>
      <w:lvlJc w:val="left"/>
      <w:pPr>
        <w:ind w:left="2577" w:hanging="322"/>
      </w:pPr>
      <w:rPr>
        <w:rFonts w:hint="default"/>
        <w:lang w:val="pt-PT" w:eastAsia="pt-PT" w:bidi="pt-PT"/>
      </w:rPr>
    </w:lvl>
  </w:abstractNum>
  <w:abstractNum w:abstractNumId="5" w15:restartNumberingAfterBreak="0">
    <w:nsid w:val="56A71623"/>
    <w:multiLevelType w:val="hybridMultilevel"/>
    <w:tmpl w:val="E5C8CD34"/>
    <w:lvl w:ilvl="0" w:tplc="BA60905E">
      <w:numFmt w:val="bullet"/>
      <w:lvlText w:val="-"/>
      <w:lvlJc w:val="left"/>
      <w:pPr>
        <w:ind w:left="107" w:hanging="118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E1A4E378">
      <w:numFmt w:val="bullet"/>
      <w:lvlText w:val="•"/>
      <w:lvlJc w:val="left"/>
      <w:pPr>
        <w:ind w:left="451" w:hanging="118"/>
      </w:pPr>
      <w:rPr>
        <w:rFonts w:hint="default"/>
        <w:lang w:val="pt-PT" w:eastAsia="pt-PT" w:bidi="pt-PT"/>
      </w:rPr>
    </w:lvl>
    <w:lvl w:ilvl="2" w:tplc="1AA0B798">
      <w:numFmt w:val="bullet"/>
      <w:lvlText w:val="•"/>
      <w:lvlJc w:val="left"/>
      <w:pPr>
        <w:ind w:left="803" w:hanging="118"/>
      </w:pPr>
      <w:rPr>
        <w:rFonts w:hint="default"/>
        <w:lang w:val="pt-PT" w:eastAsia="pt-PT" w:bidi="pt-PT"/>
      </w:rPr>
    </w:lvl>
    <w:lvl w:ilvl="3" w:tplc="C0A4CDDA">
      <w:numFmt w:val="bullet"/>
      <w:lvlText w:val="•"/>
      <w:lvlJc w:val="left"/>
      <w:pPr>
        <w:ind w:left="1154" w:hanging="118"/>
      </w:pPr>
      <w:rPr>
        <w:rFonts w:hint="default"/>
        <w:lang w:val="pt-PT" w:eastAsia="pt-PT" w:bidi="pt-PT"/>
      </w:rPr>
    </w:lvl>
    <w:lvl w:ilvl="4" w:tplc="DA1263C6">
      <w:numFmt w:val="bullet"/>
      <w:lvlText w:val="•"/>
      <w:lvlJc w:val="left"/>
      <w:pPr>
        <w:ind w:left="1506" w:hanging="118"/>
      </w:pPr>
      <w:rPr>
        <w:rFonts w:hint="default"/>
        <w:lang w:val="pt-PT" w:eastAsia="pt-PT" w:bidi="pt-PT"/>
      </w:rPr>
    </w:lvl>
    <w:lvl w:ilvl="5" w:tplc="34447296">
      <w:numFmt w:val="bullet"/>
      <w:lvlText w:val="•"/>
      <w:lvlJc w:val="left"/>
      <w:pPr>
        <w:ind w:left="1857" w:hanging="118"/>
      </w:pPr>
      <w:rPr>
        <w:rFonts w:hint="default"/>
        <w:lang w:val="pt-PT" w:eastAsia="pt-PT" w:bidi="pt-PT"/>
      </w:rPr>
    </w:lvl>
    <w:lvl w:ilvl="6" w:tplc="6ABAF132">
      <w:numFmt w:val="bullet"/>
      <w:lvlText w:val="•"/>
      <w:lvlJc w:val="left"/>
      <w:pPr>
        <w:ind w:left="2209" w:hanging="118"/>
      </w:pPr>
      <w:rPr>
        <w:rFonts w:hint="default"/>
        <w:lang w:val="pt-PT" w:eastAsia="pt-PT" w:bidi="pt-PT"/>
      </w:rPr>
    </w:lvl>
    <w:lvl w:ilvl="7" w:tplc="A62438D4">
      <w:numFmt w:val="bullet"/>
      <w:lvlText w:val="•"/>
      <w:lvlJc w:val="left"/>
      <w:pPr>
        <w:ind w:left="2560" w:hanging="118"/>
      </w:pPr>
      <w:rPr>
        <w:rFonts w:hint="default"/>
        <w:lang w:val="pt-PT" w:eastAsia="pt-PT" w:bidi="pt-PT"/>
      </w:rPr>
    </w:lvl>
    <w:lvl w:ilvl="8" w:tplc="8E2CC4E6">
      <w:numFmt w:val="bullet"/>
      <w:lvlText w:val="•"/>
      <w:lvlJc w:val="left"/>
      <w:pPr>
        <w:ind w:left="2912" w:hanging="118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520"/>
    <w:rsid w:val="00434520"/>
    <w:rsid w:val="0085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53FA9FDE-DEF9-4037-A8F5-1D2B0DDE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 w:eastAsia="pt-PT" w:bidi="pt-PT"/>
    </w:rPr>
  </w:style>
  <w:style w:type="paragraph" w:styleId="Heading1">
    <w:name w:val="heading 1"/>
    <w:basedOn w:val="Normal"/>
    <w:uiPriority w:val="9"/>
    <w:qFormat/>
    <w:pPr>
      <w:ind w:left="298" w:right="318"/>
      <w:jc w:val="center"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uiPriority w:val="9"/>
    <w:unhideWhenUsed/>
    <w:qFormat/>
    <w:pPr>
      <w:spacing w:before="35"/>
      <w:ind w:left="1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525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EE"/>
    <w:rPr>
      <w:rFonts w:ascii="Calibri" w:eastAsia="Calibri" w:hAnsi="Calibri" w:cs="Calibri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8525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EE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hyperlink" Target="https://dre.pt/pdf1sdip/2011/06/10600/0302203025.pdf" TargetMode="External"/><Relationship Id="rId26" Type="http://schemas.openxmlformats.org/officeDocument/2006/relationships/hyperlink" Target="https://www.dges.gov.pt/pt/pagina/cursos-de-especializacao-tecnologica-cet" TargetMode="External"/><Relationship Id="rId39" Type="http://schemas.openxmlformats.org/officeDocument/2006/relationships/hyperlink" Target="http://www.ipcb.pt/esart/ensino/mestrado-em-design-do-vestuario-e-texti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re.pt/pdf1s/2008/12/24500/0896008967.pdf" TargetMode="External"/><Relationship Id="rId34" Type="http://schemas.openxmlformats.org/officeDocument/2006/relationships/header" Target="header5.xml"/><Relationship Id="rId42" Type="http://schemas.openxmlformats.org/officeDocument/2006/relationships/hyperlink" Target="http://www.dges.gov.pt/pt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catalogo.anqep.gov.pt/" TargetMode="External"/><Relationship Id="rId25" Type="http://schemas.openxmlformats.org/officeDocument/2006/relationships/hyperlink" Target="https://www.dges.gov.pt/pt/pagina/cursos-de-especializacao-tecnologica-cet" TargetMode="External"/><Relationship Id="rId33" Type="http://schemas.openxmlformats.org/officeDocument/2006/relationships/hyperlink" Target="https://www.ubi.pt/curso/833" TargetMode="External"/><Relationship Id="rId38" Type="http://schemas.openxmlformats.org/officeDocument/2006/relationships/hyperlink" Target="http://www.ipcb.pt/esart/ensino/mestrado-em-design-do-vestuario-e-textil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iefp.pt/estagios" TargetMode="External"/><Relationship Id="rId20" Type="http://schemas.openxmlformats.org/officeDocument/2006/relationships/hyperlink" Target="http://dre.pt/pdf1s/2008/12/24500/0896008967.pdf" TargetMode="External"/><Relationship Id="rId29" Type="http://schemas.openxmlformats.org/officeDocument/2006/relationships/hyperlink" Target="https://www.dges.gov.pt/pt/pagina/cursos-tecnicos-superiores-profissionais" TargetMode="External"/><Relationship Id="rId41" Type="http://schemas.openxmlformats.org/officeDocument/2006/relationships/hyperlink" Target="http://www.universia.pt/estudos/ubi/mestrado-engenharia-textil/st/12211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4.xml"/><Relationship Id="rId32" Type="http://schemas.openxmlformats.org/officeDocument/2006/relationships/hyperlink" Target="http://www.det.uminho.pt/pt-PT/" TargetMode="External"/><Relationship Id="rId37" Type="http://schemas.openxmlformats.org/officeDocument/2006/relationships/hyperlink" Target="http://www.design.uminho.pt/pt-PT/mestrados/" TargetMode="External"/><Relationship Id="rId40" Type="http://schemas.openxmlformats.org/officeDocument/2006/relationships/hyperlink" Target="http://www.universia.pt/estudos/ubi/mestrado-engenharia-textil/st/122118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dges.gov.pt/pt/pagina/cursos-tecnicos-superiores-profissionais" TargetMode="External"/><Relationship Id="rId23" Type="http://schemas.openxmlformats.org/officeDocument/2006/relationships/header" Target="header4.xml"/><Relationship Id="rId28" Type="http://schemas.openxmlformats.org/officeDocument/2006/relationships/hyperlink" Target="http://dre.pt/application/conteudo/75319452" TargetMode="External"/><Relationship Id="rId36" Type="http://schemas.openxmlformats.org/officeDocument/2006/relationships/hyperlink" Target="http://www.design.uminho.pt/pt-PT/mestrados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atalogo.anqep.gov.pt/" TargetMode="External"/><Relationship Id="rId31" Type="http://schemas.openxmlformats.org/officeDocument/2006/relationships/hyperlink" Target="http://www.dges.gov.pt/guias/indcurso.asp" TargetMode="External"/><Relationship Id="rId44" Type="http://schemas.openxmlformats.org/officeDocument/2006/relationships/hyperlink" Target="http://www.det.uminho.pt/pt-pt/ensino/doutoramentos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anqep.gov.pt/default.aspx" TargetMode="External"/><Relationship Id="rId22" Type="http://schemas.openxmlformats.org/officeDocument/2006/relationships/hyperlink" Target="http://www.catalogo.anqep.gov.pt/" TargetMode="External"/><Relationship Id="rId27" Type="http://schemas.openxmlformats.org/officeDocument/2006/relationships/hyperlink" Target="http://dre.pt/application/conteudo/75319452" TargetMode="External"/><Relationship Id="rId30" Type="http://schemas.openxmlformats.org/officeDocument/2006/relationships/hyperlink" Target="https://www.dges.gov.pt/pt/pagina/cursos-tecnicos-superiores-profissionais" TargetMode="External"/><Relationship Id="rId35" Type="http://schemas.openxmlformats.org/officeDocument/2006/relationships/hyperlink" Target="http://www.dges.gov.pt/pt" TargetMode="External"/><Relationship Id="rId43" Type="http://schemas.openxmlformats.org/officeDocument/2006/relationships/hyperlink" Target="http://www.det.uminho.pt/pt-pt/ensino/doutoramentos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2107</Words>
  <Characters>11592</Characters>
  <Application>Microsoft Office Word</Application>
  <DocSecurity>0</DocSecurity>
  <Lines>96</Lines>
  <Paragraphs>27</Paragraphs>
  <ScaleCrop>false</ScaleCrop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Jenkins</dc:creator>
  <cp:lastModifiedBy>Margareta von Heland</cp:lastModifiedBy>
  <cp:revision>2</cp:revision>
  <dcterms:created xsi:type="dcterms:W3CDTF">2019-01-16T17:19:00Z</dcterms:created>
  <dcterms:modified xsi:type="dcterms:W3CDTF">2019-01-16T17:19:00Z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2019-01-16T00:00:00Z</vt:filetime>
  </property>
</Properties>
</file>