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67AB2"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1DFDDE20"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2F3F34D6"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AA21D3B" w14:textId="11930ED3"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Un’iniziativa strategica per favorire</w:t>
      </w:r>
    </w:p>
    <w:p w14:paraId="06A1CAF0" w14:textId="77777777"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 xml:space="preserve">l’offerta di apprendistato per </w:t>
      </w:r>
    </w:p>
    <w:p w14:paraId="0E9552B8" w14:textId="07F2FB0F"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il settore tessile europeo</w:t>
      </w:r>
    </w:p>
    <w:p w14:paraId="6848601D"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3B9C16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E2356EA" w14:textId="40E1AB45"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TEXAPP - WP3.2</w:t>
      </w:r>
    </w:p>
    <w:p w14:paraId="5CCA41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tbl>
      <w:tblPr>
        <w:tblStyle w:val="TableGrid"/>
        <w:tblW w:w="0" w:type="auto"/>
        <w:tblInd w:w="534" w:type="dxa"/>
        <w:tblLook w:val="04A0" w:firstRow="1" w:lastRow="0" w:firstColumn="1" w:lastColumn="0" w:noHBand="0" w:noVBand="1"/>
      </w:tblPr>
      <w:tblGrid>
        <w:gridCol w:w="8516"/>
      </w:tblGrid>
      <w:tr w:rsidR="007B52C6" w:rsidRPr="000368D9" w14:paraId="36A71CBC" w14:textId="77777777" w:rsidTr="00275503">
        <w:tc>
          <w:tcPr>
            <w:tcW w:w="8516"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728E35C" w14:textId="2FD9CECB" w:rsidR="007B52C6" w:rsidRPr="00275503" w:rsidRDefault="007B52C6" w:rsidP="007B52C6">
            <w:pPr>
              <w:pStyle w:val="NormalWeb"/>
              <w:spacing w:before="0" w:beforeAutospacing="0" w:after="0" w:afterAutospacing="0"/>
              <w:textAlignment w:val="baseline"/>
              <w:rPr>
                <w:rFonts w:asciiTheme="minorHAnsi" w:eastAsia="+mn-ea" w:hAnsiTheme="minorHAnsi" w:cs="+mn-cs"/>
                <w:b/>
                <w:bCs/>
                <w:color w:val="000000"/>
                <w:kern w:val="24"/>
                <w:sz w:val="36"/>
                <w:szCs w:val="36"/>
                <w:lang w:val="it-IT"/>
              </w:rPr>
            </w:pPr>
            <w:r>
              <w:rPr>
                <w:rFonts w:asciiTheme="minorHAnsi" w:eastAsia="+mn-ea" w:hAnsiTheme="minorHAnsi" w:cs="+mn-cs"/>
                <w:b/>
                <w:bCs/>
                <w:color w:val="000000"/>
                <w:kern w:val="24"/>
                <w:sz w:val="40"/>
                <w:szCs w:val="40"/>
                <w:lang w:val="it-IT"/>
              </w:rPr>
              <w:t xml:space="preserve">     </w:t>
            </w:r>
            <w:r w:rsidRPr="00275503">
              <w:rPr>
                <w:rFonts w:asciiTheme="minorHAnsi" w:eastAsia="+mn-ea" w:hAnsiTheme="minorHAnsi" w:cs="+mn-cs"/>
                <w:b/>
                <w:bCs/>
                <w:color w:val="000000"/>
                <w:kern w:val="24"/>
                <w:sz w:val="36"/>
                <w:szCs w:val="36"/>
                <w:lang w:val="it-IT"/>
              </w:rPr>
              <w:t>Inquadramento generale dell’apprendistato</w:t>
            </w:r>
            <w:r w:rsidR="00275503" w:rsidRPr="00275503">
              <w:rPr>
                <w:rFonts w:asciiTheme="minorHAnsi" w:eastAsia="+mn-ea" w:hAnsiTheme="minorHAnsi" w:cs="+mn-cs"/>
                <w:b/>
                <w:bCs/>
                <w:color w:val="000000"/>
                <w:kern w:val="24"/>
                <w:sz w:val="36"/>
                <w:szCs w:val="36"/>
                <w:lang w:val="it-IT"/>
              </w:rPr>
              <w:t xml:space="preserve"> in Italia</w:t>
            </w:r>
          </w:p>
        </w:tc>
      </w:tr>
    </w:tbl>
    <w:p w14:paraId="440629BE"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p w14:paraId="3B7C48DF"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tbl>
      <w:tblPr>
        <w:tblStyle w:val="TableGrid"/>
        <w:tblW w:w="0" w:type="auto"/>
        <w:jc w:val="center"/>
        <w:tblInd w:w="0" w:type="dxa"/>
        <w:tblLook w:val="04A0" w:firstRow="1" w:lastRow="0" w:firstColumn="1" w:lastColumn="0" w:noHBand="0" w:noVBand="1"/>
      </w:tblPr>
      <w:tblGrid>
        <w:gridCol w:w="7939"/>
      </w:tblGrid>
      <w:tr w:rsidR="007B52C6" w14:paraId="5F1118F1" w14:textId="77777777" w:rsidTr="007B52C6">
        <w:trPr>
          <w:jc w:val="center"/>
        </w:trPr>
        <w:tc>
          <w:tcPr>
            <w:tcW w:w="7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ED7794" w14:textId="3BA1B6A6" w:rsidR="007B52C6" w:rsidRDefault="005169CC" w:rsidP="007B52C6">
            <w:pPr>
              <w:pStyle w:val="NormalWeb"/>
              <w:spacing w:before="0" w:beforeAutospacing="0" w:after="0" w:afterAutospacing="0"/>
              <w:textAlignment w:val="baseline"/>
              <w:rPr>
                <w:rFonts w:asciiTheme="minorHAnsi" w:hAnsiTheme="minorHAnsi"/>
                <w:sz w:val="32"/>
                <w:szCs w:val="32"/>
                <w:lang w:val="en-GB"/>
              </w:rPr>
            </w:pPr>
            <w:proofErr w:type="spellStart"/>
            <w:r>
              <w:rPr>
                <w:rFonts w:asciiTheme="minorHAnsi" w:hAnsiTheme="minorHAnsi"/>
                <w:b/>
                <w:sz w:val="32"/>
                <w:szCs w:val="32"/>
                <w:lang w:val="en-GB"/>
              </w:rPr>
              <w:t>Autore</w:t>
            </w:r>
            <w:proofErr w:type="spellEnd"/>
            <w:r w:rsidR="007B52C6">
              <w:rPr>
                <w:rFonts w:asciiTheme="minorHAnsi" w:hAnsiTheme="minorHAnsi"/>
                <w:b/>
                <w:sz w:val="32"/>
                <w:szCs w:val="32"/>
                <w:lang w:val="en-GB"/>
              </w:rPr>
              <w:t xml:space="preserve">:  </w:t>
            </w:r>
            <w:proofErr w:type="spellStart"/>
            <w:r w:rsidR="007B52C6">
              <w:rPr>
                <w:rFonts w:asciiTheme="minorHAnsi" w:hAnsiTheme="minorHAnsi"/>
                <w:sz w:val="32"/>
                <w:szCs w:val="32"/>
                <w:lang w:val="en-GB"/>
              </w:rPr>
              <w:t>TexClubTec</w:t>
            </w:r>
            <w:proofErr w:type="spellEnd"/>
            <w:r w:rsidR="007B52C6">
              <w:rPr>
                <w:rFonts w:asciiTheme="minorHAnsi" w:hAnsiTheme="minorHAnsi"/>
                <w:sz w:val="32"/>
                <w:szCs w:val="32"/>
                <w:lang w:val="en-GB"/>
              </w:rPr>
              <w:t xml:space="preserve"> </w:t>
            </w:r>
          </w:p>
        </w:tc>
      </w:tr>
    </w:tbl>
    <w:p w14:paraId="439A61F3" w14:textId="77777777" w:rsidR="008916FC" w:rsidRDefault="008916FC" w:rsidP="005C5F7F">
      <w:pPr>
        <w:jc w:val="center"/>
        <w:rPr>
          <w:rFonts w:ascii="Arial" w:hAnsi="Arial" w:cs="Arial"/>
          <w:b/>
          <w:iCs/>
        </w:rPr>
      </w:pPr>
    </w:p>
    <w:p w14:paraId="368A2427" w14:textId="77777777" w:rsidR="008916FC" w:rsidRDefault="008916FC" w:rsidP="005C5F7F">
      <w:pPr>
        <w:jc w:val="center"/>
        <w:rPr>
          <w:rFonts w:ascii="Arial" w:hAnsi="Arial" w:cs="Arial"/>
          <w:b/>
          <w:iCs/>
        </w:rPr>
      </w:pPr>
    </w:p>
    <w:p w14:paraId="5E7418C1" w14:textId="77777777" w:rsidR="008916FC" w:rsidRDefault="008916FC" w:rsidP="005C5F7F">
      <w:pPr>
        <w:jc w:val="center"/>
        <w:rPr>
          <w:rFonts w:ascii="Arial" w:hAnsi="Arial" w:cs="Arial"/>
          <w:b/>
          <w:iCs/>
        </w:rPr>
      </w:pPr>
    </w:p>
    <w:p w14:paraId="784913F5" w14:textId="77777777" w:rsidR="008916FC" w:rsidRDefault="008916FC" w:rsidP="005C5F7F">
      <w:pPr>
        <w:jc w:val="center"/>
        <w:rPr>
          <w:rFonts w:ascii="Arial" w:hAnsi="Arial" w:cs="Arial"/>
          <w:b/>
          <w:iCs/>
        </w:rPr>
      </w:pPr>
    </w:p>
    <w:p w14:paraId="6EC66839" w14:textId="77777777" w:rsidR="008916FC" w:rsidRDefault="008916FC" w:rsidP="005C5F7F">
      <w:pPr>
        <w:jc w:val="center"/>
        <w:rPr>
          <w:rFonts w:ascii="Arial" w:hAnsi="Arial" w:cs="Arial"/>
          <w:b/>
          <w:iCs/>
        </w:rPr>
      </w:pPr>
    </w:p>
    <w:p w14:paraId="2E5405BE" w14:textId="77777777" w:rsidR="008916FC" w:rsidRDefault="008916FC" w:rsidP="005C5F7F">
      <w:pPr>
        <w:jc w:val="center"/>
        <w:rPr>
          <w:rFonts w:ascii="Arial" w:hAnsi="Arial" w:cs="Arial"/>
          <w:b/>
          <w:iCs/>
        </w:rPr>
      </w:pPr>
    </w:p>
    <w:p w14:paraId="3E8CC0E1" w14:textId="77777777" w:rsidR="008916FC" w:rsidRDefault="008916FC" w:rsidP="005C5F7F">
      <w:pPr>
        <w:jc w:val="center"/>
        <w:rPr>
          <w:rFonts w:ascii="Arial" w:hAnsi="Arial" w:cs="Arial"/>
          <w:b/>
          <w:iCs/>
        </w:rPr>
      </w:pPr>
    </w:p>
    <w:p w14:paraId="2A7D5073" w14:textId="77777777" w:rsidR="008916FC" w:rsidRDefault="008916FC" w:rsidP="005C5F7F">
      <w:pPr>
        <w:jc w:val="center"/>
        <w:rPr>
          <w:rFonts w:ascii="Arial" w:hAnsi="Arial" w:cs="Arial"/>
          <w:b/>
          <w:iCs/>
        </w:rPr>
      </w:pPr>
    </w:p>
    <w:p w14:paraId="334D99EE" w14:textId="3BB52517" w:rsidR="008916FC" w:rsidRDefault="008916FC" w:rsidP="00816A86">
      <w:pPr>
        <w:rPr>
          <w:rFonts w:ascii="Arial" w:hAnsi="Arial" w:cs="Arial"/>
          <w:b/>
          <w:iCs/>
        </w:rPr>
      </w:pPr>
    </w:p>
    <w:p w14:paraId="2F5CBD0C" w14:textId="13CD3919" w:rsidR="00816A86" w:rsidRDefault="00816A86" w:rsidP="00816A86">
      <w:pPr>
        <w:rPr>
          <w:rFonts w:ascii="Arial" w:hAnsi="Arial" w:cs="Arial"/>
          <w:b/>
          <w:iCs/>
        </w:rPr>
      </w:pPr>
    </w:p>
    <w:p w14:paraId="43142F5A" w14:textId="78695D2B" w:rsidR="00816A86" w:rsidRDefault="00816A86" w:rsidP="00816A86">
      <w:pPr>
        <w:rPr>
          <w:rFonts w:ascii="Arial" w:hAnsi="Arial" w:cs="Arial"/>
          <w:b/>
          <w:iCs/>
        </w:rPr>
      </w:pPr>
    </w:p>
    <w:p w14:paraId="7D2833C7" w14:textId="0A574E8F" w:rsidR="00816A86" w:rsidRDefault="00816A86" w:rsidP="00816A86">
      <w:pPr>
        <w:rPr>
          <w:rFonts w:ascii="Arial" w:hAnsi="Arial" w:cs="Arial"/>
          <w:b/>
          <w:iCs/>
        </w:rPr>
      </w:pPr>
    </w:p>
    <w:p w14:paraId="222B46FB" w14:textId="77777777" w:rsidR="007B52C6" w:rsidRDefault="007B52C6" w:rsidP="00816A86">
      <w:pPr>
        <w:rPr>
          <w:rFonts w:ascii="Arial" w:hAnsi="Arial" w:cs="Arial"/>
          <w:b/>
          <w:iCs/>
        </w:rPr>
      </w:pPr>
    </w:p>
    <w:p w14:paraId="7CFCD49A" w14:textId="77777777" w:rsidR="008916FC" w:rsidRDefault="008916FC" w:rsidP="00FD491B">
      <w:pPr>
        <w:rPr>
          <w:rFonts w:ascii="Arial" w:hAnsi="Arial" w:cs="Arial"/>
          <w:b/>
          <w:iCs/>
        </w:rPr>
      </w:pPr>
    </w:p>
    <w:p w14:paraId="45E7C11C" w14:textId="77777777" w:rsidR="008916FC" w:rsidRDefault="008916FC" w:rsidP="005C5F7F">
      <w:pPr>
        <w:jc w:val="center"/>
        <w:rPr>
          <w:rFonts w:ascii="Arial" w:hAnsi="Arial" w:cs="Arial"/>
          <w:b/>
          <w:iCs/>
        </w:rPr>
      </w:pPr>
    </w:p>
    <w:p w14:paraId="11722E61" w14:textId="77777777" w:rsidR="007B52C6" w:rsidRDefault="007B52C6" w:rsidP="007B52C6">
      <w:pPr>
        <w:rPr>
          <w:rFonts w:asciiTheme="minorHAnsi" w:eastAsia="+mn-ea" w:hAnsiTheme="minorHAnsi" w:cs="+mn-cs"/>
          <w:b/>
          <w:bCs/>
          <w:color w:val="000000"/>
          <w:kern w:val="24"/>
          <w:sz w:val="40"/>
          <w:szCs w:val="40"/>
          <w:lang w:val="it-IT"/>
        </w:rPr>
      </w:pPr>
    </w:p>
    <w:p w14:paraId="6469F6C2" w14:textId="77777777" w:rsidR="007B52C6" w:rsidRDefault="007B52C6" w:rsidP="007B52C6">
      <w:pPr>
        <w:rPr>
          <w:rFonts w:asciiTheme="minorHAnsi" w:eastAsia="+mn-ea" w:hAnsiTheme="minorHAnsi" w:cs="+mn-cs"/>
          <w:b/>
          <w:bCs/>
          <w:color w:val="000000"/>
          <w:kern w:val="24"/>
          <w:sz w:val="40"/>
          <w:szCs w:val="40"/>
          <w:lang w:val="it-IT"/>
        </w:rPr>
      </w:pPr>
    </w:p>
    <w:p w14:paraId="79EE91C6" w14:textId="64119446" w:rsidR="007B52C6" w:rsidRDefault="007B52C6" w:rsidP="007B52C6">
      <w:pPr>
        <w:jc w:val="center"/>
        <w:rPr>
          <w:rFonts w:asciiTheme="minorHAnsi" w:eastAsia="+mn-ea" w:hAnsiTheme="minorHAnsi" w:cs="+mn-cs"/>
          <w:bCs/>
          <w:color w:val="000000"/>
          <w:kern w:val="24"/>
          <w:sz w:val="40"/>
          <w:szCs w:val="40"/>
          <w:lang w:val="it-IT"/>
        </w:rPr>
      </w:pPr>
      <w:r w:rsidRPr="007B52C6">
        <w:rPr>
          <w:rFonts w:asciiTheme="minorHAnsi" w:eastAsia="+mn-ea" w:hAnsiTheme="minorHAnsi" w:cs="+mn-cs"/>
          <w:bCs/>
          <w:color w:val="000000"/>
          <w:kern w:val="24"/>
          <w:sz w:val="40"/>
          <w:szCs w:val="40"/>
          <w:lang w:val="it-IT"/>
        </w:rPr>
        <w:t>Inquadramento generale dell’apprendistato</w:t>
      </w:r>
    </w:p>
    <w:p w14:paraId="14EDE972" w14:textId="58BB9897" w:rsidR="00275503" w:rsidRPr="007B52C6" w:rsidRDefault="00275503" w:rsidP="007B52C6">
      <w:pPr>
        <w:jc w:val="center"/>
        <w:rPr>
          <w:lang w:val="it-IT"/>
        </w:rPr>
      </w:pPr>
      <w:r>
        <w:rPr>
          <w:rFonts w:asciiTheme="minorHAnsi" w:eastAsia="+mn-ea" w:hAnsiTheme="minorHAnsi" w:cs="+mn-cs"/>
          <w:bCs/>
          <w:color w:val="000000"/>
          <w:kern w:val="24"/>
          <w:sz w:val="40"/>
          <w:szCs w:val="40"/>
          <w:lang w:val="it-IT"/>
        </w:rPr>
        <w:t>In Italia</w:t>
      </w:r>
    </w:p>
    <w:p w14:paraId="5807A6AC" w14:textId="77777777" w:rsidR="007B52C6" w:rsidRPr="007B52C6" w:rsidRDefault="007B52C6" w:rsidP="007B52C6">
      <w:pPr>
        <w:rPr>
          <w:lang w:val="it-IT"/>
        </w:rPr>
      </w:pPr>
    </w:p>
    <w:p w14:paraId="76F01B1D" w14:textId="77777777" w:rsidR="007B52C6" w:rsidRDefault="007B52C6" w:rsidP="007B52C6">
      <w:pPr>
        <w:spacing w:line="276" w:lineRule="auto"/>
        <w:rPr>
          <w:rFonts w:asciiTheme="minorHAnsi" w:hAnsiTheme="minorHAnsi"/>
          <w:sz w:val="28"/>
          <w:szCs w:val="28"/>
          <w:lang w:val="it-IT"/>
        </w:rPr>
      </w:pPr>
    </w:p>
    <w:p w14:paraId="744D25A3" w14:textId="77777777" w:rsidR="007B52C6" w:rsidRDefault="007B52C6" w:rsidP="007B52C6">
      <w:pPr>
        <w:spacing w:line="276" w:lineRule="auto"/>
        <w:rPr>
          <w:rFonts w:asciiTheme="minorHAnsi" w:hAnsiTheme="minorHAnsi"/>
          <w:sz w:val="28"/>
          <w:szCs w:val="28"/>
          <w:lang w:val="it-IT"/>
        </w:rPr>
      </w:pPr>
    </w:p>
    <w:p w14:paraId="3891EFE6" w14:textId="77777777" w:rsidR="007B52C6" w:rsidRPr="007B52C6" w:rsidRDefault="007B52C6" w:rsidP="007B52C6">
      <w:pPr>
        <w:spacing w:line="276" w:lineRule="auto"/>
        <w:jc w:val="both"/>
        <w:rPr>
          <w:rFonts w:asciiTheme="minorHAnsi" w:hAnsiTheme="minorHAnsi"/>
          <w:sz w:val="28"/>
          <w:szCs w:val="28"/>
          <w:lang w:val="it-IT"/>
        </w:rPr>
      </w:pPr>
      <w:r w:rsidRPr="007B52C6">
        <w:rPr>
          <w:rFonts w:asciiTheme="minorHAnsi" w:hAnsiTheme="minorHAnsi"/>
          <w:sz w:val="28"/>
          <w:szCs w:val="28"/>
          <w:lang w:val="it-IT"/>
        </w:rPr>
        <w:t xml:space="preserve">La formazione professionale è un elemento fondamentale per un lavoratore, perché permette di aggiornare ed ampliare le proprie competenze. Questa può essere inserita all’interno di un vero e proprio contratto di lavoro, la cui causa è lo scambio tra prestazione lavorativa e retribuzione </w:t>
      </w:r>
      <w:r w:rsidRPr="007B52C6">
        <w:rPr>
          <w:rFonts w:asciiTheme="minorHAnsi" w:hAnsiTheme="minorHAnsi"/>
          <w:b/>
          <w:bCs/>
          <w:sz w:val="28"/>
          <w:szCs w:val="28"/>
          <w:lang w:val="it-IT"/>
        </w:rPr>
        <w:t>a cui si aggiunge l’obbligo formativo</w:t>
      </w:r>
      <w:r w:rsidRPr="007B52C6">
        <w:rPr>
          <w:rFonts w:asciiTheme="minorHAnsi" w:hAnsiTheme="minorHAnsi"/>
          <w:sz w:val="28"/>
          <w:szCs w:val="28"/>
          <w:lang w:val="it-IT"/>
        </w:rPr>
        <w:t xml:space="preserve"> a carico del datore di lavoro. </w:t>
      </w:r>
    </w:p>
    <w:p w14:paraId="51AD151C" w14:textId="77777777" w:rsidR="007B52C6" w:rsidRPr="007B52C6" w:rsidRDefault="007B52C6" w:rsidP="007B52C6">
      <w:pPr>
        <w:spacing w:line="276" w:lineRule="auto"/>
        <w:jc w:val="both"/>
        <w:rPr>
          <w:rFonts w:asciiTheme="minorHAnsi" w:hAnsiTheme="minorHAnsi"/>
          <w:sz w:val="28"/>
          <w:szCs w:val="28"/>
          <w:lang w:val="it-IT"/>
        </w:rPr>
      </w:pPr>
      <w:r w:rsidRPr="007B52C6">
        <w:rPr>
          <w:rFonts w:asciiTheme="minorHAnsi" w:hAnsiTheme="minorHAnsi"/>
          <w:sz w:val="28"/>
          <w:szCs w:val="28"/>
          <w:lang w:val="it-IT"/>
        </w:rPr>
        <w:t>In quest’ultimo caso rientra il contratto di apprendistato che si configura come la principale tipologia contrattuale per favorire l'ingresso nel mondo del lavoro dei giovani di età compresa tra i 15 e i 29 anni, a seconda della tipologia di apprendistato.</w:t>
      </w:r>
    </w:p>
    <w:p w14:paraId="780FA2BE" w14:textId="77777777" w:rsidR="007B52C6" w:rsidRPr="007B52C6" w:rsidRDefault="007B52C6" w:rsidP="007B52C6">
      <w:pPr>
        <w:spacing w:line="276" w:lineRule="auto"/>
        <w:jc w:val="both"/>
        <w:rPr>
          <w:rFonts w:asciiTheme="minorHAnsi" w:hAnsiTheme="minorHAnsi"/>
          <w:sz w:val="28"/>
          <w:szCs w:val="28"/>
          <w:lang w:val="it-IT"/>
        </w:rPr>
      </w:pPr>
      <w:r w:rsidRPr="007B52C6">
        <w:rPr>
          <w:rFonts w:asciiTheme="minorHAnsi" w:hAnsiTheme="minorHAnsi"/>
          <w:sz w:val="28"/>
          <w:szCs w:val="28"/>
          <w:lang w:val="it-IT"/>
        </w:rPr>
        <w:t>L’elemento caratterizzante dell’apprendistato è rappresentato dal fatto che il datore di lavoro, nell’esecuzione dell’obbligazione posta a suo carico, è tenuto ad erogare, come corrispettivo della presentazione di lavoro, non solo la retribuzione, ma anche la</w:t>
      </w:r>
      <w:r w:rsidRPr="007B52C6">
        <w:rPr>
          <w:rFonts w:asciiTheme="minorHAnsi" w:hAnsiTheme="minorHAnsi"/>
          <w:b/>
          <w:bCs/>
          <w:sz w:val="28"/>
          <w:szCs w:val="28"/>
          <w:lang w:val="it-IT"/>
        </w:rPr>
        <w:t> formazione</w:t>
      </w:r>
      <w:r w:rsidRPr="007B52C6">
        <w:rPr>
          <w:rFonts w:asciiTheme="minorHAnsi" w:hAnsiTheme="minorHAnsi"/>
          <w:sz w:val="28"/>
          <w:szCs w:val="28"/>
          <w:lang w:val="it-IT"/>
        </w:rPr>
        <w:t xml:space="preserve"> </w:t>
      </w:r>
      <w:r w:rsidRPr="007B52C6">
        <w:rPr>
          <w:rFonts w:asciiTheme="minorHAnsi" w:hAnsiTheme="minorHAnsi"/>
          <w:b/>
          <w:bCs/>
          <w:sz w:val="28"/>
          <w:szCs w:val="28"/>
          <w:lang w:val="it-IT"/>
        </w:rPr>
        <w:t>necessaria all’acquisizione delle competenze professionali o alla riqualificazione di una professionalità</w:t>
      </w:r>
      <w:r w:rsidRPr="007B52C6">
        <w:rPr>
          <w:rFonts w:asciiTheme="minorHAnsi" w:hAnsiTheme="minorHAnsi"/>
          <w:sz w:val="28"/>
          <w:szCs w:val="28"/>
          <w:lang w:val="it-IT"/>
        </w:rPr>
        <w:t>. Queste due obbligazioni hanno pari dignità e non sono tra loro alternative o accessorie.</w:t>
      </w:r>
    </w:p>
    <w:p w14:paraId="0AE34F7C" w14:textId="77777777" w:rsidR="007B52C6" w:rsidRPr="007B52C6" w:rsidRDefault="007B52C6" w:rsidP="007B52C6">
      <w:pPr>
        <w:spacing w:line="276" w:lineRule="auto"/>
        <w:jc w:val="both"/>
        <w:rPr>
          <w:rFonts w:asciiTheme="minorHAnsi" w:hAnsiTheme="minorHAnsi"/>
          <w:sz w:val="28"/>
          <w:szCs w:val="28"/>
          <w:lang w:val="it-IT"/>
        </w:rPr>
      </w:pPr>
      <w:r w:rsidRPr="007B52C6">
        <w:rPr>
          <w:rFonts w:asciiTheme="minorHAnsi" w:hAnsiTheme="minorHAnsi"/>
          <w:sz w:val="28"/>
          <w:szCs w:val="28"/>
          <w:lang w:val="it-IT"/>
        </w:rPr>
        <w:t xml:space="preserve">Mentre l’apprendista ha la convenienza di imparare una professione, il datore di lavoro ha la possibilità di beneficiare di agevolazioni di tipo normativo, contributivo ed economico. </w:t>
      </w:r>
    </w:p>
    <w:p w14:paraId="55452492" w14:textId="77777777" w:rsidR="008916FC" w:rsidRPr="007B52C6" w:rsidRDefault="008916FC" w:rsidP="007B52C6">
      <w:pPr>
        <w:pStyle w:val="ListParagraph"/>
        <w:spacing w:line="276" w:lineRule="auto"/>
        <w:ind w:left="0"/>
        <w:jc w:val="both"/>
        <w:rPr>
          <w:rFonts w:asciiTheme="minorHAnsi" w:hAnsiTheme="minorHAnsi" w:cs="Arial"/>
          <w:b/>
          <w:sz w:val="28"/>
          <w:szCs w:val="28"/>
          <w:lang w:val="it-IT"/>
        </w:rPr>
      </w:pPr>
    </w:p>
    <w:p w14:paraId="3B210D41" w14:textId="2483FF91" w:rsidR="0082114E" w:rsidRPr="005169CC" w:rsidRDefault="0082114E" w:rsidP="007B52C6">
      <w:pPr>
        <w:pStyle w:val="ListParagraph"/>
        <w:ind w:left="0"/>
        <w:jc w:val="both"/>
        <w:rPr>
          <w:rFonts w:ascii="Arial" w:hAnsi="Arial" w:cs="Arial"/>
          <w:lang w:val="it-IT"/>
        </w:rPr>
      </w:pPr>
    </w:p>
    <w:sectPr w:rsidR="0082114E" w:rsidRPr="005169CC" w:rsidSect="006605DD">
      <w:headerReference w:type="even" r:id="rId7"/>
      <w:headerReference w:type="default" r:id="rId8"/>
      <w:footerReference w:type="even" r:id="rId9"/>
      <w:footerReference w:type="default" r:id="rId10"/>
      <w:headerReference w:type="first" r:id="rId11"/>
      <w:footerReference w:type="first" r:id="rId12"/>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6ECAD" w14:textId="77777777" w:rsidR="00415CDC" w:rsidRDefault="00415CDC" w:rsidP="00232C85">
      <w:r>
        <w:separator/>
      </w:r>
    </w:p>
  </w:endnote>
  <w:endnote w:type="continuationSeparator" w:id="0">
    <w:p w14:paraId="2A7A18AC" w14:textId="77777777" w:rsidR="00415CDC" w:rsidRDefault="00415CDC"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1CA2" w14:textId="77777777" w:rsidR="000368D9" w:rsidRDefault="000368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CE068" w14:textId="77777777" w:rsidR="000368D9" w:rsidRPr="00322720" w:rsidRDefault="000368D9" w:rsidP="000368D9">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p w14:paraId="590205BF" w14:textId="77777777" w:rsidR="000368D9" w:rsidRPr="000368D9" w:rsidRDefault="000368D9">
    <w:pPr>
      <w:pStyle w:val="Footer"/>
      <w:rPr>
        <w:lang w:val="en-US"/>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758BE" w14:textId="77777777" w:rsidR="000368D9" w:rsidRDefault="000368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4E22C" w14:textId="77777777" w:rsidR="00415CDC" w:rsidRDefault="00415CDC" w:rsidP="00232C85">
      <w:r>
        <w:separator/>
      </w:r>
    </w:p>
  </w:footnote>
  <w:footnote w:type="continuationSeparator" w:id="0">
    <w:p w14:paraId="78421AD5" w14:textId="77777777" w:rsidR="00415CDC" w:rsidRDefault="00415CDC"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744A2" w14:textId="77777777" w:rsidR="000368D9" w:rsidRDefault="000368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170FF" w14:textId="73CF8AFD" w:rsidR="000368D9" w:rsidRPr="003657C0" w:rsidRDefault="000368D9" w:rsidP="000368D9">
    <w:pPr>
      <w:pStyle w:val="Header"/>
      <w:rPr>
        <w:b/>
        <w:lang w:val="en-US"/>
      </w:rPr>
    </w:pPr>
    <w:r>
      <w:rPr>
        <w:noProof/>
        <w:lang w:val="pt-PT" w:eastAsia="pt-PT"/>
      </w:rPr>
      <w:drawing>
        <wp:anchor distT="0" distB="0" distL="114300" distR="114300" simplePos="0" relativeHeight="251661312" behindDoc="1" locked="0" layoutInCell="1" allowOverlap="1" wp14:anchorId="7597B268" wp14:editId="5F1A9316">
          <wp:simplePos x="0" y="0"/>
          <wp:positionH relativeFrom="column">
            <wp:posOffset>1859280</wp:posOffset>
          </wp:positionH>
          <wp:positionV relativeFrom="paragraph">
            <wp:posOffset>-15240</wp:posOffset>
          </wp:positionV>
          <wp:extent cx="1590675" cy="596265"/>
          <wp:effectExtent l="0" t="0" r="9525" b="0"/>
          <wp:wrapNone/>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1">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r>
      <w:rPr>
        <w:noProof/>
      </w:rPr>
      <w:drawing>
        <wp:anchor distT="0" distB="0" distL="114300" distR="114300" simplePos="0" relativeHeight="251660288" behindDoc="1" locked="0" layoutInCell="1" allowOverlap="1" wp14:anchorId="2498DCBA" wp14:editId="35C316D3">
          <wp:simplePos x="0" y="0"/>
          <wp:positionH relativeFrom="margin">
            <wp:align>left</wp:align>
          </wp:positionH>
          <wp:positionV relativeFrom="paragraph">
            <wp:posOffset>129540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00232C85">
      <w:rPr>
        <w:b/>
        <w:szCs w:val="20"/>
      </w:rPr>
      <w:ptab w:relativeTo="margin" w:alignment="center" w:leader="none"/>
    </w:r>
    <w:r w:rsidRPr="003657C0">
      <w:rPr>
        <w:b/>
        <w:noProof/>
      </w:rPr>
      <w:drawing>
        <wp:anchor distT="0" distB="0" distL="114300" distR="114300" simplePos="0" relativeHeight="251659264" behindDoc="0" locked="0" layoutInCell="1" allowOverlap="1" wp14:anchorId="3A95AF72" wp14:editId="1B786A6E">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rPr>
      <w:tab/>
    </w:r>
  </w:p>
  <w:p w14:paraId="458EC068" w14:textId="389996F8" w:rsidR="00232C85" w:rsidRDefault="00232C85" w:rsidP="00232C85">
    <w:pPr>
      <w:pStyle w:val="Footer"/>
      <w:rPr>
        <w:b/>
        <w:sz w:val="20"/>
        <w:szCs w:val="20"/>
      </w:rPr>
    </w:pPr>
    <w:r>
      <w:rPr>
        <w:b/>
        <w:szCs w:val="20"/>
      </w:rPr>
      <w:ptab w:relativeTo="margin" w:alignment="right" w:leader="none"/>
    </w:r>
  </w:p>
  <w:p w14:paraId="10784008" w14:textId="53DF34E8" w:rsidR="00232C85" w:rsidRDefault="00232C85">
    <w:pPr>
      <w:pStyle w:val="Header"/>
    </w:pPr>
  </w:p>
  <w:p w14:paraId="34FD99A6" w14:textId="2BF05DF3" w:rsidR="00816A86" w:rsidRDefault="00816A86">
    <w:pPr>
      <w:pStyle w:val="Header"/>
    </w:pPr>
  </w:p>
  <w:p w14:paraId="3F510CBE" w14:textId="2362AA38" w:rsidR="00816A86" w:rsidRDefault="00816A86">
    <w:pPr>
      <w:pStyle w:val="Header"/>
    </w:pPr>
  </w:p>
  <w:p w14:paraId="1B28EDFA" w14:textId="77777777" w:rsidR="00816A86" w:rsidRDefault="00816A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958A" w14:textId="77777777" w:rsidR="000368D9" w:rsidRDefault="000368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F3376D"/>
    <w:multiLevelType w:val="hybridMultilevel"/>
    <w:tmpl w:val="BE08B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
  </w:num>
  <w:num w:numId="5">
    <w:abstractNumId w:val="5"/>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7F"/>
    <w:rsid w:val="000258DC"/>
    <w:rsid w:val="000367A8"/>
    <w:rsid w:val="000368D9"/>
    <w:rsid w:val="00082E2C"/>
    <w:rsid w:val="000922D1"/>
    <w:rsid w:val="000E1054"/>
    <w:rsid w:val="001334B4"/>
    <w:rsid w:val="00181000"/>
    <w:rsid w:val="001C450E"/>
    <w:rsid w:val="001E5D2B"/>
    <w:rsid w:val="00232C85"/>
    <w:rsid w:val="00275503"/>
    <w:rsid w:val="00285602"/>
    <w:rsid w:val="002A181F"/>
    <w:rsid w:val="00355EA7"/>
    <w:rsid w:val="003C5AE2"/>
    <w:rsid w:val="00415CDC"/>
    <w:rsid w:val="004963C2"/>
    <w:rsid w:val="004B7DDF"/>
    <w:rsid w:val="005169CC"/>
    <w:rsid w:val="00530F65"/>
    <w:rsid w:val="005939B1"/>
    <w:rsid w:val="005B0226"/>
    <w:rsid w:val="005C5F7F"/>
    <w:rsid w:val="006001D5"/>
    <w:rsid w:val="00655026"/>
    <w:rsid w:val="006605DD"/>
    <w:rsid w:val="007032ED"/>
    <w:rsid w:val="00714B8B"/>
    <w:rsid w:val="0072390F"/>
    <w:rsid w:val="00767ABA"/>
    <w:rsid w:val="007A70C0"/>
    <w:rsid w:val="007B52C6"/>
    <w:rsid w:val="008114DE"/>
    <w:rsid w:val="00816A86"/>
    <w:rsid w:val="0082114E"/>
    <w:rsid w:val="00884A1A"/>
    <w:rsid w:val="00887A3F"/>
    <w:rsid w:val="008916FC"/>
    <w:rsid w:val="0091128B"/>
    <w:rsid w:val="009145D5"/>
    <w:rsid w:val="009904CE"/>
    <w:rsid w:val="009C00D2"/>
    <w:rsid w:val="009C6A5C"/>
    <w:rsid w:val="00AC580B"/>
    <w:rsid w:val="00B12763"/>
    <w:rsid w:val="00B215BB"/>
    <w:rsid w:val="00B409A0"/>
    <w:rsid w:val="00B518F9"/>
    <w:rsid w:val="00B96D53"/>
    <w:rsid w:val="00C46BF4"/>
    <w:rsid w:val="00C631B7"/>
    <w:rsid w:val="00C767C1"/>
    <w:rsid w:val="00CA5350"/>
    <w:rsid w:val="00CA7085"/>
    <w:rsid w:val="00CC0A0D"/>
    <w:rsid w:val="00CF2361"/>
    <w:rsid w:val="00D17E22"/>
    <w:rsid w:val="00D26C6A"/>
    <w:rsid w:val="00DA4691"/>
    <w:rsid w:val="00DD20DA"/>
    <w:rsid w:val="00DD2B3F"/>
    <w:rsid w:val="00DF50FD"/>
    <w:rsid w:val="00E12F75"/>
    <w:rsid w:val="00F17AAC"/>
    <w:rsid w:val="00FD491B"/>
    <w:rsid w:val="00FD7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20153F"/>
  <w15:docId w15:val="{064A84A9-BB06-4D09-A959-8DD5F7E2B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nhideWhenUsed/>
    <w:rsid w:val="00232C85"/>
    <w:pPr>
      <w:tabs>
        <w:tab w:val="center" w:pos="4513"/>
        <w:tab w:val="right" w:pos="9026"/>
      </w:tabs>
    </w:pPr>
  </w:style>
  <w:style w:type="character" w:customStyle="1" w:styleId="FooterChar">
    <w:name w:val="Footer Char"/>
    <w:basedOn w:val="DefaultParagraphFont"/>
    <w:link w:val="Footer"/>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8916FC"/>
    <w:pPr>
      <w:spacing w:before="100" w:beforeAutospacing="1" w:after="100" w:afterAutospacing="1"/>
    </w:pPr>
    <w:rPr>
      <w:lang w:val="el-GR" w:eastAsia="el-GR"/>
    </w:rPr>
  </w:style>
  <w:style w:type="table" w:styleId="TableGrid">
    <w:name w:val="Table Grid"/>
    <w:basedOn w:val="TableNormal"/>
    <w:uiPriority w:val="39"/>
    <w:rsid w:val="008916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811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5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236</Words>
  <Characters>1304</Characters>
  <Application>Microsoft Office Word</Application>
  <DocSecurity>0</DocSecurity>
  <Lines>10</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3</cp:revision>
  <cp:lastPrinted>2017-06-13T10:06:00Z</cp:lastPrinted>
  <dcterms:created xsi:type="dcterms:W3CDTF">2018-07-13T07:51:00Z</dcterms:created>
  <dcterms:modified xsi:type="dcterms:W3CDTF">2019-01-16T16:27:00Z</dcterms:modified>
</cp:coreProperties>
</file>